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F26B6E" w:rsidP="00F26B6E">
            <w:r>
              <w:t>6</w:t>
            </w:r>
            <w:r w:rsidR="00635E5E">
              <w:t>.Hafta (</w:t>
            </w:r>
            <w:r w:rsidR="00D84B6A">
              <w:t xml:space="preserve"> </w:t>
            </w:r>
            <w:r>
              <w:t>2- 6 Kasım</w:t>
            </w:r>
            <w:r w:rsidR="00D817A7">
              <w:t xml:space="preserve"> 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
              <w:t>1.Ünite:</w:t>
            </w:r>
            <w:r w:rsidR="0018041D">
              <w:t xml:space="preserve"> </w:t>
            </w:r>
            <w:r w:rsidR="0018041D" w:rsidRPr="0018041D">
              <w:t>Vücudumuz</w:t>
            </w:r>
            <w:r w:rsidR="00F57C35">
              <w:t>un</w:t>
            </w:r>
            <w:r w:rsidR="0018041D" w:rsidRPr="0018041D">
              <w:t xml:space="preserve"> Bilmecesini Çözelim</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18041D" w:rsidP="00D817A7">
            <w:r>
              <w:t>Besinler</w:t>
            </w:r>
            <w:r w:rsidR="00D817A7">
              <w:t>in Sindirimi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F26B6E" w:rsidP="005D464A">
            <w:r w:rsidRPr="00F26B6E">
              <w:t>5.1.2.3. Diş sağlığı için beslenmeye, temizliğe ve düzenli diş kontrolüne özen gösterir.</w:t>
            </w:r>
          </w:p>
        </w:tc>
      </w:tr>
      <w:tr w:rsidR="00635E5E" w:rsidTr="00E417CF">
        <w:trPr>
          <w:trHeight w:val="1244"/>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18041D" w:rsidRDefault="00D817A7">
            <w:r>
              <w:t>Sindirim</w:t>
            </w:r>
          </w:p>
          <w:p w:rsidR="00D817A7" w:rsidRDefault="00D817A7">
            <w:r>
              <w:t>Sindirim Organları</w:t>
            </w:r>
          </w:p>
          <w:p w:rsidR="00D817A7" w:rsidRDefault="00D817A7">
            <w:r>
              <w:t>Diş</w:t>
            </w:r>
          </w:p>
          <w:p w:rsidR="00D817A7" w:rsidRDefault="00D817A7">
            <w:r>
              <w:t>Diş Sağlığı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35E5E" w:rsidRDefault="0018041D">
            <w:r>
              <w:t>Öğrenci ders kitabında yer alan etkinlikler için gerekli olan araç-gereçler kullanılacaktır.</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D817A7" w:rsidP="0018041D">
            <w:r w:rsidRPr="00D817A7">
              <w:rPr>
                <w:iCs/>
              </w:rPr>
              <w:t>Besinlerin sindirimde izlediği yol, ağız, yutak, yemek borusu, mide, ince bağırsak, kalın bağırsak olarak verilir, organların yapı ve ayrıntılarına girilmez.</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D817A7" w:rsidP="005D464A">
            <w:r>
              <w:t>Sindirim Sistemi Yapı ve Organlarını Model Üzerinde Gösterme</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F26B6E" w:rsidRPr="00CC4206" w:rsidRDefault="00F26B6E" w:rsidP="00F26B6E">
            <w:pPr>
              <w:rPr>
                <w:rFonts w:ascii="HelveticaNeue-Bold" w:hAnsi="HelveticaNeue-Bold" w:cs="HelveticaNeue-Bold"/>
                <w:b/>
                <w:bCs/>
                <w:sz w:val="26"/>
                <w:szCs w:val="26"/>
              </w:rPr>
            </w:pPr>
            <w:r w:rsidRPr="00CC4206">
              <w:rPr>
                <w:rFonts w:ascii="HelveticaNeue-Bold" w:hAnsi="HelveticaNeue-Bold" w:cs="HelveticaNeue-Bold"/>
                <w:b/>
                <w:bCs/>
                <w:sz w:val="26"/>
                <w:szCs w:val="26"/>
              </w:rPr>
              <w:t>Diş Sağlığı ve Bakımı</w:t>
            </w:r>
          </w:p>
          <w:p w:rsidR="00F26B6E" w:rsidRDefault="00F26B6E" w:rsidP="00F26B6E">
            <w:pPr>
              <w:autoSpaceDE w:val="0"/>
              <w:autoSpaceDN w:val="0"/>
              <w:adjustRightInd w:val="0"/>
              <w:rPr>
                <w:rFonts w:ascii="HelveticaNeue" w:hAnsi="HelveticaNeue" w:cs="HelveticaNeue"/>
              </w:rPr>
            </w:pPr>
            <w:r>
              <w:rPr>
                <w:rFonts w:ascii="HelveticaNeue" w:hAnsi="HelveticaNeue" w:cs="HelveticaNeue"/>
              </w:rPr>
              <w:t>Ağız ve diş sağlığının korunması çok önemlidir. Ağız ve dişlerin sağlıksız olması, vücutta sindirim ve diğer bazı yapıların da sağlıksız olmasına sebep olur. Bu durum, sürekli olarak çürük dişlerin ve ağız kokusunun oluşumuna, diş ve baş ağrısına, böbreklerin zarar görmesine ve sindirim bozukluklarına neden olur.</w:t>
            </w:r>
          </w:p>
          <w:p w:rsidR="00F26B6E" w:rsidRDefault="00F26B6E" w:rsidP="00F26B6E">
            <w:pPr>
              <w:autoSpaceDE w:val="0"/>
              <w:autoSpaceDN w:val="0"/>
              <w:adjustRightInd w:val="0"/>
              <w:rPr>
                <w:rFonts w:ascii="HelveticaNeue" w:hAnsi="HelveticaNeue" w:cs="HelveticaNeue"/>
              </w:rPr>
            </w:pPr>
            <w:r>
              <w:rPr>
                <w:rFonts w:ascii="HelveticaNeue" w:hAnsi="HelveticaNeue" w:cs="HelveticaNeue"/>
              </w:rPr>
              <w:t xml:space="preserve">Ağız ve dişlerin sağlıklı olması için; </w:t>
            </w:r>
          </w:p>
          <w:p w:rsidR="00F26B6E" w:rsidRPr="00F26B6E"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Özellikle gelişme çağındaki bireyler A, C,</w:t>
            </w:r>
            <w:r>
              <w:rPr>
                <w:rFonts w:ascii="HelveticaNeue" w:hAnsi="HelveticaNeue" w:cs="HelveticaNeue"/>
              </w:rPr>
              <w:t xml:space="preserve"> </w:t>
            </w:r>
            <w:r w:rsidRPr="00F26B6E">
              <w:rPr>
                <w:rFonts w:ascii="HelveticaNeue" w:hAnsi="HelveticaNeue" w:cs="HelveticaNeue"/>
              </w:rPr>
              <w:t xml:space="preserve">D vitaminlerinden yeterince almalıdır. </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Süt ve süt ü</w:t>
            </w:r>
            <w:bookmarkStart w:id="0" w:name="_GoBack"/>
            <w:bookmarkEnd w:id="0"/>
            <w:r w:rsidRPr="00CC4206">
              <w:rPr>
                <w:rFonts w:ascii="HelveticaNeue" w:hAnsi="HelveticaNeue" w:cs="HelveticaNeue"/>
              </w:rPr>
              <w:t xml:space="preserve">rünleri bol miktarda tüketilmelidir. </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 xml:space="preserve">Armut, havuç, salatalık gibi yiyecekleri dişlerimizle kopararak yemek, diş ve diş etlerimizin sağlığı için önemlidir. </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Art arda yenilip içilen çok sıcak - çok soğuk yiyecek ve içecekler dişlerimizin zarar görmesine neden olabilir ve dişlerimizi çatlatabilir.</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 xml:space="preserve">Fındık ve ceviz gibi yiyeceklerin kabukları dişlerle kırılmamalıdır. </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 xml:space="preserve">Asitli içecekler ve şeker fazla tüketilmemelidir. </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 xml:space="preserve">Sivri cisimlerle dişleri karıştırma dişlerimize ve diş etlerine zarar verir. </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Dişlerin düzenli olarak fırçalanmaması dişlerin çürümesine yol açar. Bu nedenle dişlerimizi tekniğine uygun şekilde fırçalayarak besin artıklarını dişlerimizden uzaklaştırmamız gerekir.</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Tekniğine uygun fırçalamada, diş fırçası eğik tutulmalıdır. Ön dişlerin yüzeyi dairesel hareketle fırçalanmalıdır. Dişlerin çiğneme yüzeyleri ileri geri hareketle, iç yüzeyleri ve diş etleri dairesel hareketle temizlenmelidir.</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Diş fırçalamada ağza uygun fırça tercih edilmelidir. Diş fırçası çok yumuşak ya da sert olmamalıdır. Diş etlerini tahriş etmeyen ve tüm dişlerin yüzeylerine ulaşabilen bir diş fırçası kullanılmalıdır.</w:t>
            </w:r>
          </w:p>
          <w:p w:rsidR="00F26B6E"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Dişler fırçal</w:t>
            </w:r>
            <w:r>
              <w:rPr>
                <w:rFonts w:ascii="HelveticaNeue" w:hAnsi="HelveticaNeue" w:cs="HelveticaNeue"/>
              </w:rPr>
              <w:t xml:space="preserve">anırken diş macunu kullanılmalı </w:t>
            </w:r>
            <w:r w:rsidRPr="00CC4206">
              <w:rPr>
                <w:rFonts w:ascii="HelveticaNeue" w:hAnsi="HelveticaNeue" w:cs="HelveticaNeue"/>
              </w:rPr>
              <w:t>ve fırçalama işlemi en az iki-üç dakika sürmelidir.</w:t>
            </w:r>
          </w:p>
          <w:p w:rsidR="00F26B6E" w:rsidRPr="00CC4206" w:rsidRDefault="00F26B6E" w:rsidP="00F26B6E">
            <w:pPr>
              <w:pStyle w:val="ListeParagraf"/>
              <w:numPr>
                <w:ilvl w:val="0"/>
                <w:numId w:val="20"/>
              </w:numPr>
              <w:autoSpaceDE w:val="0"/>
              <w:autoSpaceDN w:val="0"/>
              <w:adjustRightInd w:val="0"/>
              <w:rPr>
                <w:rFonts w:ascii="HelveticaNeue" w:hAnsi="HelveticaNeue" w:cs="HelveticaNeue"/>
              </w:rPr>
            </w:pPr>
            <w:r w:rsidRPr="00CC4206">
              <w:rPr>
                <w:rFonts w:ascii="HelveticaNeue" w:hAnsi="HelveticaNeue" w:cs="HelveticaNeue"/>
              </w:rPr>
              <w:t>Her altı ayda bir diş doktoruna giderek dişlerimizi kontrol ettirmeliyiz.</w:t>
            </w:r>
          </w:p>
          <w:p w:rsidR="000E120A" w:rsidRDefault="000E120A" w:rsidP="00F26B6E">
            <w:pPr>
              <w:pStyle w:val="ResimYazs"/>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D84B6A" w:rsidRPr="00D84B6A" w:rsidRDefault="00D84B6A" w:rsidP="00D84B6A">
            <w:pPr>
              <w:tabs>
                <w:tab w:val="left" w:pos="900"/>
              </w:tabs>
              <w:rPr>
                <w:bCs/>
              </w:rPr>
            </w:pPr>
            <w:r>
              <w:rPr>
                <w:bCs/>
              </w:rPr>
              <w:t>*</w:t>
            </w:r>
            <w:r w:rsidRPr="00D84B6A">
              <w:rPr>
                <w:bCs/>
              </w:rPr>
              <w:t>Görsel Sanatlar dersinde farklı besin gruplarına ait meyve–sebze vb. çizimler yaptırılır.</w:t>
            </w:r>
          </w:p>
          <w:p w:rsidR="00D84B6A" w:rsidRPr="00D84B6A" w:rsidRDefault="00D84B6A" w:rsidP="00D84B6A">
            <w:pPr>
              <w:tabs>
                <w:tab w:val="left" w:pos="900"/>
              </w:tabs>
              <w:rPr>
                <w:bCs/>
              </w:rPr>
            </w:pPr>
            <w:r>
              <w:rPr>
                <w:bCs/>
              </w:rPr>
              <w:t>*</w:t>
            </w:r>
            <w:r w:rsidRPr="00D84B6A">
              <w:rPr>
                <w:bCs/>
              </w:rPr>
              <w:t>Beden eğitimi dersinde yapılan etkinliklerin kemik ve kas gelişimine olumlu etkisi belirtilir.</w:t>
            </w:r>
          </w:p>
          <w:p w:rsidR="00635E5E" w:rsidRDefault="00D84B6A" w:rsidP="00D84B6A">
            <w:r>
              <w:rPr>
                <w:bCs/>
              </w:rPr>
              <w:t>*</w:t>
            </w:r>
            <w:r w:rsidRPr="00D84B6A">
              <w:rPr>
                <w:bCs/>
              </w:rPr>
              <w:t>Türkçe dersinde besinlerle ilgili kompozisyon, şiir yazdırılır.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F26B6E" w:rsidP="008A0B40">
            <w:r w:rsidRPr="00F26B6E">
              <w:rPr>
                <w:b/>
              </w:rPr>
              <w:t xml:space="preserve">1. dönem 1. </w:t>
            </w:r>
            <w:proofErr w:type="gramStart"/>
            <w:r w:rsidRPr="00F26B6E">
              <w:rPr>
                <w:b/>
              </w:rPr>
              <w:t>Yazılı     sınavı</w:t>
            </w:r>
            <w:proofErr w:type="gramEnd"/>
            <w:r w:rsidRPr="00F26B6E">
              <w:rPr>
                <w:b/>
              </w:rPr>
              <w:t>: (2-6 KASIM 2015)</w:t>
            </w:r>
            <w:r>
              <w:rPr>
                <w:b/>
              </w:rPr>
              <w:t xml:space="preserve"> yapılacaktır.</w:t>
            </w: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125FE2" w:rsidP="001B6A4B">
      <w:pPr>
        <w:jc w:val="center"/>
        <w:rPr>
          <w:b/>
        </w:rPr>
      </w:pPr>
      <w:r>
        <w:rPr>
          <w:b/>
        </w:rPr>
        <w:t xml:space="preserve">                                                                                                                                    </w:t>
      </w:r>
      <w:r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5"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1" w:usb1="00000000" w:usb2="00000000" w:usb3="00000000" w:csb0="00000011" w:csb1="00000000"/>
  </w:font>
  <w:font w:name="HelveticaNeue-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2"/>
  </w:num>
  <w:num w:numId="4">
    <w:abstractNumId w:val="2"/>
  </w:num>
  <w:num w:numId="5">
    <w:abstractNumId w:val="11"/>
  </w:num>
  <w:num w:numId="6">
    <w:abstractNumId w:val="0"/>
  </w:num>
  <w:num w:numId="7">
    <w:abstractNumId w:val="3"/>
  </w:num>
  <w:num w:numId="8">
    <w:abstractNumId w:val="10"/>
  </w:num>
  <w:num w:numId="9">
    <w:abstractNumId w:val="7"/>
  </w:num>
  <w:num w:numId="10">
    <w:abstractNumId w:val="4"/>
  </w:num>
  <w:num w:numId="11">
    <w:abstractNumId w:val="17"/>
  </w:num>
  <w:num w:numId="12">
    <w:abstractNumId w:val="8"/>
  </w:num>
  <w:num w:numId="13">
    <w:abstractNumId w:val="6"/>
  </w:num>
  <w:num w:numId="14">
    <w:abstractNumId w:val="14"/>
  </w:num>
  <w:num w:numId="15">
    <w:abstractNumId w:val="13"/>
  </w:num>
  <w:num w:numId="16">
    <w:abstractNumId w:val="1"/>
  </w:num>
  <w:num w:numId="17">
    <w:abstractNumId w:val="19"/>
  </w:num>
  <w:num w:numId="18">
    <w:abstractNumId w:val="15"/>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1B6A4B"/>
    <w:rsid w:val="005704EA"/>
    <w:rsid w:val="005D464A"/>
    <w:rsid w:val="00635E5E"/>
    <w:rsid w:val="00B77C5E"/>
    <w:rsid w:val="00C22CE5"/>
    <w:rsid w:val="00D817A7"/>
    <w:rsid w:val="00D84B6A"/>
    <w:rsid w:val="00E417CF"/>
    <w:rsid w:val="00F249BD"/>
    <w:rsid w:val="00F26B6E"/>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Tablo2-Vurgu5">
    <w:name w:val="Grid Table 2 Accent 5"/>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641</Words>
  <Characters>3656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10</cp:revision>
  <dcterms:created xsi:type="dcterms:W3CDTF">2015-09-18T15:07:00Z</dcterms:created>
  <dcterms:modified xsi:type="dcterms:W3CDTF">2015-10-31T14:41:00Z</dcterms:modified>
</cp:coreProperties>
</file>