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7823E9" w:rsidP="007823E9">
            <w:r>
              <w:t>29</w:t>
            </w:r>
            <w:r w:rsidR="00635E5E">
              <w:t>.Hafta (</w:t>
            </w:r>
            <w:r>
              <w:t>25</w:t>
            </w:r>
            <w:r w:rsidR="00926AA0">
              <w:t xml:space="preserve"> </w:t>
            </w:r>
            <w:r w:rsidR="00314BA5">
              <w:t>–</w:t>
            </w:r>
            <w:r w:rsidR="00C83FAA">
              <w:t xml:space="preserve"> </w:t>
            </w:r>
            <w:r>
              <w:t>29</w:t>
            </w:r>
            <w:r w:rsidR="00314BA5">
              <w:t xml:space="preserve"> Nisan</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4A54A3" w:rsidP="00E302C6">
            <w:r>
              <w:t>Elektriksel Direnç ve Bağlı Olduğu Faktörler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58"/>
        <w:gridCol w:w="2131"/>
        <w:gridCol w:w="6875"/>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7823E9" w:rsidP="00E50A8A">
            <w:pPr>
              <w:rPr>
                <w:bCs/>
              </w:rPr>
            </w:pPr>
            <w:r w:rsidRPr="007823E9">
              <w:rPr>
                <w:bCs/>
              </w:rPr>
              <w:t>6.7.2.1. Bir elektrik devresindeki ampulün parlaklığının bağlı olduğu değişkenleri tahmin eder ve tahminlerini deneyerek test eder.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bookmarkStart w:id="0" w:name="_GoBack"/>
            <w:bookmarkEnd w:id="0"/>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7823E9" w:rsidP="00E50A8A">
            <w:pPr>
              <w:rPr>
                <w:bCs/>
              </w:rPr>
            </w:pPr>
            <w:proofErr w:type="gramStart"/>
            <w:r w:rsidRPr="007823E9">
              <w:rPr>
                <w:bCs/>
              </w:rPr>
              <w:t>a</w:t>
            </w:r>
            <w:proofErr w:type="gramEnd"/>
            <w:r w:rsidRPr="007823E9">
              <w:rPr>
                <w:bCs/>
              </w:rPr>
              <w:t xml:space="preserve">. Ampulün parlaklığının değiştirilmesinde devredeki iletkenin uzunluğu, dik kesit alanı ve iletkenin cinsi değişkenleri üzerinde durulur.                     </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 xml:space="preserve">İletkenin dik kesit alanı (kalınlığı) lamba parlaklığını nasıl etkiler? </w:t>
            </w:r>
            <w:r w:rsidRPr="007823E9">
              <w:rPr>
                <w:bCs/>
                <w:sz w:val="20"/>
                <w:szCs w:val="20"/>
              </w:rPr>
              <w:t>(D.K.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w:t>
            </w:r>
            <w:r>
              <w:rPr>
                <w:bCs/>
              </w:rPr>
              <w:t>(D.K. Sayfa: 3</w:t>
            </w:r>
            <w:r>
              <w:rPr>
                <w:bCs/>
              </w:rPr>
              <w:t>63</w:t>
            </w:r>
            <w:r>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rPr>
              <w:drawing>
                <wp:inline distT="0" distB="0" distL="0" distR="0" wp14:anchorId="4419A3F2" wp14:editId="26B35D4C">
                  <wp:extent cx="1209675" cy="12573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54" cy="1257590"/>
                          </a:xfrm>
                          <a:prstGeom prst="rect">
                            <a:avLst/>
                          </a:prstGeom>
                          <a:noFill/>
                          <a:ln>
                            <a:noFill/>
                          </a:ln>
                        </pic:spPr>
                      </pic:pic>
                    </a:graphicData>
                  </a:graphic>
                </wp:inline>
              </w:drawing>
            </w:r>
            <w:r w:rsidRPr="007823E9">
              <w:rPr>
                <w:rFonts w:cs="Calibri"/>
              </w:rPr>
              <w:t xml:space="preserve"> </w:t>
            </w:r>
            <w:r w:rsidRPr="007823E9">
              <w:rPr>
                <w:rFonts w:cs="Calibri"/>
              </w:rPr>
              <w:drawing>
                <wp:inline distT="0" distB="0" distL="0" distR="0" wp14:anchorId="4A0EF30B" wp14:editId="3A8EBCF2">
                  <wp:extent cx="1771650" cy="1265464"/>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8414" cy="1277438"/>
                          </a:xfrm>
                          <a:prstGeom prst="rect">
                            <a:avLst/>
                          </a:prstGeom>
                          <a:noFill/>
                          <a:ln>
                            <a:noFill/>
                          </a:ln>
                        </pic:spPr>
                      </pic:pic>
                    </a:graphicData>
                  </a:graphic>
                </wp:inline>
              </w:drawing>
            </w:r>
            <w:r w:rsidRPr="007823E9">
              <w:rPr>
                <w:rFonts w:cs="Calibri"/>
              </w:rPr>
              <w:t xml:space="preserve"> </w:t>
            </w:r>
            <w:r w:rsidRPr="007823E9">
              <w:rPr>
                <w:rFonts w:cs="Calibri"/>
              </w:rPr>
              <w:drawing>
                <wp:inline distT="0" distB="0" distL="0" distR="0" wp14:anchorId="10F3627D" wp14:editId="64160F54">
                  <wp:extent cx="1695450" cy="1271589"/>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2050" cy="1284039"/>
                          </a:xfrm>
                          <a:prstGeom prst="rect">
                            <a:avLst/>
                          </a:prstGeom>
                          <a:noFill/>
                          <a:ln>
                            <a:noFill/>
                          </a:ln>
                        </pic:spPr>
                      </pic:pic>
                    </a:graphicData>
                  </a:graphic>
                </wp:inline>
              </w:drawing>
            </w:r>
          </w:p>
          <w:p w:rsidR="007823E9" w:rsidRPr="007823E9" w:rsidRDefault="007823E9" w:rsidP="007823E9">
            <w:pPr>
              <w:rPr>
                <w:rFonts w:cs="Calibri"/>
                <w:b/>
              </w:rPr>
            </w:pPr>
            <w:r w:rsidRPr="007823E9">
              <w:rPr>
                <w:rFonts w:cs="Calibri"/>
                <w:b/>
              </w:rPr>
              <w:lastRenderedPageBreak/>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8"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proofErr w:type="spellStart"/>
            <w:r w:rsidRPr="007823E9">
              <w:rPr>
                <w:rFonts w:cs="Calibri"/>
                <w:b/>
                <w:bCs/>
              </w:rPr>
              <w:t>Ohm</w:t>
            </w:r>
            <w:r w:rsidRPr="007823E9">
              <w:rPr>
                <w:rFonts w:cs="Calibri"/>
              </w:rPr>
              <w:t>’dur</w:t>
            </w:r>
            <w:proofErr w:type="spellEnd"/>
            <w:r w:rsidRPr="007823E9">
              <w:rPr>
                <w:rFonts w:cs="Calibri"/>
              </w:rPr>
              <w:t xml:space="preserve">. </w:t>
            </w:r>
            <w:proofErr w:type="spellStart"/>
            <w:r w:rsidRPr="007823E9">
              <w:rPr>
                <w:rFonts w:cs="Calibri"/>
              </w:rPr>
              <w:t>Ohm</w:t>
            </w:r>
            <w:proofErr w:type="spellEnd"/>
            <w:r w:rsidRPr="007823E9">
              <w:rPr>
                <w:rFonts w:cs="Calibri"/>
              </w:rPr>
              <w:t xml:space="preserve"> birimi kısaca </w:t>
            </w:r>
            <w:r w:rsidRPr="007823E9">
              <w:rPr>
                <w:rFonts w:cs="Calibri"/>
                <w:b/>
                <w:bCs/>
              </w:rPr>
              <w:t xml:space="preserve">Ω </w:t>
            </w:r>
            <w:r w:rsidRPr="007823E9">
              <w:rPr>
                <w:rFonts w:cs="Calibri"/>
              </w:rPr>
              <w:t>(</w:t>
            </w:r>
            <w:proofErr w:type="spellStart"/>
            <w:r w:rsidRPr="007823E9">
              <w:rPr>
                <w:rFonts w:cs="Calibri"/>
              </w:rPr>
              <w:t>omega</w:t>
            </w:r>
            <w:proofErr w:type="spellEnd"/>
            <w:r w:rsidRPr="007823E9">
              <w:rPr>
                <w:rFonts w:cs="Calibri"/>
              </w:rPr>
              <w:t xml:space="preserve">) ile sembolize edilir. Elektriksel direnç, birimini, bir bilim insanı olan </w:t>
            </w:r>
            <w:r w:rsidRPr="007823E9">
              <w:rPr>
                <w:rFonts w:cs="Calibri"/>
                <w:b/>
              </w:rPr>
              <w:t xml:space="preserve">George </w:t>
            </w:r>
            <w:proofErr w:type="spellStart"/>
            <w:r w:rsidRPr="007823E9">
              <w:rPr>
                <w:rFonts w:cs="Calibri"/>
                <w:b/>
              </w:rPr>
              <w:t>Simon</w:t>
            </w:r>
            <w:proofErr w:type="spellEnd"/>
            <w:r w:rsidRPr="007823E9">
              <w:rPr>
                <w:rFonts w:cs="Calibri"/>
                <w:b/>
              </w:rPr>
              <w:t xml:space="preserve"> </w:t>
            </w:r>
            <w:proofErr w:type="spellStart"/>
            <w:r w:rsidRPr="007823E9">
              <w:rPr>
                <w:rFonts w:cs="Calibri"/>
                <w:b/>
              </w:rPr>
              <w:t>Ohm</w:t>
            </w:r>
            <w:r w:rsidRPr="007823E9">
              <w:rPr>
                <w:rFonts w:cs="Calibri"/>
              </w:rPr>
              <w:t>’un</w:t>
            </w:r>
            <w:proofErr w:type="spellEnd"/>
            <w:r w:rsidRPr="007823E9">
              <w:rPr>
                <w:rFonts w:cs="Calibri"/>
              </w:rPr>
              <w:t xml:space="preserve"> (</w:t>
            </w:r>
            <w:proofErr w:type="spellStart"/>
            <w:r w:rsidRPr="007823E9">
              <w:rPr>
                <w:rFonts w:cs="Calibri"/>
              </w:rPr>
              <w:t>Corç</w:t>
            </w:r>
            <w:proofErr w:type="spellEnd"/>
            <w:r w:rsidRPr="007823E9">
              <w:rPr>
                <w:rFonts w:cs="Calibri"/>
              </w:rPr>
              <w:t xml:space="preserve"> </w:t>
            </w:r>
            <w:proofErr w:type="spellStart"/>
            <w:r w:rsidRPr="007823E9">
              <w:rPr>
                <w:rFonts w:cs="Calibri"/>
              </w:rPr>
              <w:t>Saymın</w:t>
            </w:r>
            <w:proofErr w:type="spellEnd"/>
            <w:r w:rsidRPr="007823E9">
              <w:rPr>
                <w:rFonts w:cs="Calibri"/>
              </w:rPr>
              <w:t xml:space="preserve">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9" w:history="1">
              <w:r w:rsidRPr="007823E9">
                <w:rPr>
                  <w:rStyle w:val="Kpr"/>
                  <w:rFonts w:cs="Calibri"/>
                </w:rPr>
                <w:t>.</w:t>
              </w:r>
            </w:hyperlink>
          </w:p>
          <w:p w:rsidR="007823E9" w:rsidRPr="007823E9" w:rsidRDefault="007823E9" w:rsidP="007823E9">
            <w:pPr>
              <w:rPr>
                <w:rFonts w:cs="Calibri"/>
              </w:rPr>
            </w:pPr>
            <w:r w:rsidRPr="007823E9">
              <w:rPr>
                <w:rFonts w:cs="Calibri"/>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1"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7823E9" w:rsidP="007823E9">
            <w:pP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4.25pt">
                  <v:imagedata r:id="rId12" o:title="Reosta ve Kullanım Alanları"/>
                </v:shape>
              </w:pict>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3"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4" w:history="1">
              <w:r w:rsidRPr="007823E9">
                <w:rPr>
                  <w:rStyle w:val="Kpr"/>
                  <w:rFonts w:cs="Calibri"/>
                </w:rPr>
                <w:t>.</w:t>
              </w:r>
            </w:hyperlink>
          </w:p>
          <w:p w:rsidR="007823E9" w:rsidRPr="007823E9" w:rsidRDefault="007823E9" w:rsidP="007823E9">
            <w:pPr>
              <w:rPr>
                <w:rFonts w:cs="Calibri"/>
                <w:bCs/>
              </w:rPr>
            </w:pPr>
            <w:r w:rsidRPr="007823E9">
              <w:rPr>
                <w:rFonts w:cs="Calibri"/>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azalırken, iletkenin uzunluğu azaltıldığında ise lamba parlaklığı artmaktadır.</w:t>
            </w:r>
          </w:p>
          <w:p w:rsidR="007823E9" w:rsidRPr="007823E9" w:rsidRDefault="007823E9" w:rsidP="007823E9">
            <w:pPr>
              <w:rPr>
                <w:rFonts w:cs="Calibri"/>
                <w:bCs/>
              </w:rPr>
            </w:pPr>
            <w:r w:rsidRPr="007823E9">
              <w:rPr>
                <w:rFonts w:cs="Calibri"/>
              </w:rPr>
              <w:lastRenderedPageBreak/>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7"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19"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
          <w:p w:rsidR="007823E9" w:rsidRPr="007823E9" w:rsidRDefault="007823E9" w:rsidP="007823E9">
            <w:pPr>
              <w:rPr>
                <w:rFonts w:cs="Calibri"/>
                <w:bCs/>
              </w:rPr>
            </w:pPr>
            <w:r w:rsidRPr="007823E9">
              <w:rPr>
                <w:rFonts w:cs="Calibri"/>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1"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sahip olurlar. Bu durum iletkenlere farklı kullanım alanları sağlar. Örneğin, elektrikli araçların </w:t>
            </w:r>
            <w:r w:rsidRPr="007823E9">
              <w:rPr>
                <w:rFonts w:cs="Calibri"/>
              </w:rPr>
              <w:lastRenderedPageBreak/>
              <w:t>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4A54A3" w:rsidP="00125FE2">
      <w:pPr>
        <w:jc w:val="center"/>
        <w:rPr>
          <w:sz w:val="24"/>
          <w:szCs w:val="24"/>
        </w:rPr>
      </w:pPr>
      <w:hyperlink r:id="rId24"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A54A3"/>
    <w:rsid w:val="004B59EC"/>
    <w:rsid w:val="00635E5E"/>
    <w:rsid w:val="006505AD"/>
    <w:rsid w:val="006C296D"/>
    <w:rsid w:val="007375A3"/>
    <w:rsid w:val="00766892"/>
    <w:rsid w:val="007823E9"/>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fenehl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1352</Words>
  <Characters>7712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18</cp:revision>
  <dcterms:created xsi:type="dcterms:W3CDTF">2016-02-14T15:46:00Z</dcterms:created>
  <dcterms:modified xsi:type="dcterms:W3CDTF">2016-04-24T18:09:00Z</dcterms:modified>
</cp:coreProperties>
</file>