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ED18CD" w:rsidP="00ED18CD">
            <w:r>
              <w:t>5</w:t>
            </w:r>
            <w:r w:rsidR="00635E5E">
              <w:t>.Hafta (</w:t>
            </w:r>
            <w:r>
              <w:t>26</w:t>
            </w:r>
            <w:r w:rsidR="00635E5E">
              <w:t xml:space="preserve"> </w:t>
            </w:r>
            <w:r w:rsidR="00D84B6A">
              <w:t>–</w:t>
            </w:r>
            <w:r w:rsidR="00635E5E">
              <w:t xml:space="preserve"> </w:t>
            </w:r>
            <w:r>
              <w:t>30</w:t>
            </w:r>
            <w:r w:rsidR="00D84B6A">
              <w:t xml:space="preserve"> </w:t>
            </w:r>
            <w:r w:rsidR="00635E5E">
              <w:t>Ekim</w:t>
            </w:r>
            <w:r w:rsidR="00A46C22">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385926">
            <w:r>
              <w:t>Solunum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ED18CD" w:rsidRPr="00ED18CD" w:rsidRDefault="00ED18CD" w:rsidP="00ED18CD">
            <w:r w:rsidRPr="00ED18CD">
              <w:t>6.1.3.2. Akciğerlerin yapısını açıklar ve alveol-kılcal damar arasındaki gaz alışverişini model üzerinde gösterir.</w:t>
            </w:r>
          </w:p>
          <w:p w:rsidR="0018041D" w:rsidRDefault="0018041D" w:rsidP="00231E17"/>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231E17" w:rsidRDefault="006C296D">
            <w:r>
              <w:t>Solunum</w:t>
            </w:r>
          </w:p>
          <w:p w:rsidR="006C296D" w:rsidRDefault="006C296D">
            <w:r>
              <w:t>Akciğer</w:t>
            </w:r>
          </w:p>
          <w:p w:rsidR="006C296D" w:rsidRDefault="006C296D">
            <w:r>
              <w:t>Bronş</w:t>
            </w:r>
          </w:p>
          <w:p w:rsidR="006C296D" w:rsidRDefault="006C296D">
            <w:r>
              <w:t>Bronşçuk</w:t>
            </w:r>
          </w:p>
          <w:p w:rsidR="006C296D" w:rsidRDefault="006C296D">
            <w:r>
              <w:t>Alveol</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385926" w:rsidP="00A46C22">
            <w:r w:rsidRPr="00385926">
              <w:t>• 2,5 litrelik pet şişe (5 litrelik pet şişe de tercih edilebilir) • Büyük balon (1 adet) • Küçük balon (2 adet) • Y borusu (1 adet) • İplik • Makas • Oyun hamuru</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231E17" w:rsidRPr="00231E17" w:rsidRDefault="00231E17" w:rsidP="00231E17">
            <w:r w:rsidRPr="00231E17">
              <w:t>[!] 1.1 Kemiğin kısımları uzun bir kemik üzerinde gösterilir.</w:t>
            </w:r>
          </w:p>
          <w:p w:rsidR="00635E5E" w:rsidRDefault="00231E17" w:rsidP="00231E17">
            <w:r w:rsidRPr="00231E17">
              <w:t>[!] 1.3 Eklemin yapısı oynar eklem şekli</w:t>
            </w:r>
            <w:r>
              <w:t xml:space="preserve"> üzerinde </w:t>
            </w:r>
            <w:r w:rsidRPr="00231E17">
              <w:t>verilir.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43426E" w:rsidRDefault="00385926" w:rsidP="00231E17">
            <w:r w:rsidRPr="00385926">
              <w:t>Nefes Al, Nefes Ver</w:t>
            </w:r>
          </w:p>
          <w:p w:rsidR="00385926" w:rsidRDefault="00385926" w:rsidP="00231E17"/>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ED18CD" w:rsidRPr="00812171" w:rsidRDefault="00ED18CD" w:rsidP="00ED18CD">
            <w:pPr>
              <w:autoSpaceDE w:val="0"/>
              <w:autoSpaceDN w:val="0"/>
              <w:adjustRightInd w:val="0"/>
              <w:rPr>
                <w:sz w:val="24"/>
                <w:szCs w:val="24"/>
              </w:rPr>
            </w:pPr>
            <w:r w:rsidRPr="00812171">
              <w:rPr>
                <w:b/>
                <w:color w:val="FF0000"/>
                <w:sz w:val="24"/>
                <w:szCs w:val="24"/>
              </w:rPr>
              <w:t>Alveol (hava kesecikleri):</w:t>
            </w:r>
            <w:r w:rsidRPr="00812171">
              <w:rPr>
                <w:sz w:val="24"/>
                <w:szCs w:val="24"/>
              </w:rPr>
              <w:t xml:space="preserve"> Hücrelerde oluşan atık karbondioksit gazı kan yoluyla akciğerlere gelir. Akciğerlerde dışarıdan gelen oksijen alveollerde karbondioksit ile yer değiştirir. Oksijenle zenginleşen kan, tekrar hücrelere gitmek üzere akciğerden ayrılır. </w:t>
            </w:r>
          </w:p>
          <w:p w:rsidR="00ED18CD" w:rsidRPr="00812171" w:rsidRDefault="00ED18CD" w:rsidP="00ED18CD">
            <w:pPr>
              <w:autoSpaceDE w:val="0"/>
              <w:autoSpaceDN w:val="0"/>
              <w:adjustRightInd w:val="0"/>
              <w:rPr>
                <w:sz w:val="24"/>
                <w:szCs w:val="24"/>
              </w:rPr>
            </w:pPr>
            <w:r w:rsidRPr="00812171">
              <w:rPr>
                <w:b/>
                <w:color w:val="FF0000"/>
                <w:sz w:val="24"/>
                <w:szCs w:val="24"/>
              </w:rPr>
              <w:t>Bronş ve bronşçuklar:</w:t>
            </w:r>
            <w:r w:rsidRPr="00812171">
              <w:rPr>
                <w:color w:val="FF0000"/>
                <w:sz w:val="24"/>
                <w:szCs w:val="24"/>
              </w:rPr>
              <w:t xml:space="preserve"> </w:t>
            </w:r>
            <w:r w:rsidRPr="00812171">
              <w:rPr>
                <w:sz w:val="24"/>
                <w:szCs w:val="24"/>
              </w:rPr>
              <w:t xml:space="preserve">Soluk borusu, akciğere doğru iki kola ayrılır. Bu kollara </w:t>
            </w:r>
            <w:r w:rsidRPr="00812171">
              <w:rPr>
                <w:b/>
                <w:color w:val="FF0000"/>
                <w:sz w:val="24"/>
                <w:szCs w:val="24"/>
              </w:rPr>
              <w:t>bronş</w:t>
            </w:r>
            <w:r w:rsidRPr="00812171">
              <w:rPr>
                <w:sz w:val="24"/>
                <w:szCs w:val="24"/>
              </w:rPr>
              <w:t xml:space="preserve"> denir. Bronşlar, akciğerlerin içine girdikten sonra birçok dala ayrılır. Gittikçe incelen bu dallara </w:t>
            </w:r>
            <w:r w:rsidRPr="00812171">
              <w:rPr>
                <w:b/>
                <w:color w:val="FF0000"/>
                <w:sz w:val="24"/>
                <w:szCs w:val="24"/>
              </w:rPr>
              <w:t>bronşçuk</w:t>
            </w:r>
            <w:r w:rsidRPr="00812171">
              <w:rPr>
                <w:sz w:val="24"/>
                <w:szCs w:val="24"/>
              </w:rPr>
              <w:t xml:space="preserve"> denir.</w:t>
            </w:r>
          </w:p>
          <w:p w:rsidR="00ED18CD" w:rsidRPr="00812171" w:rsidRDefault="00ED18CD" w:rsidP="00ED18CD">
            <w:pPr>
              <w:autoSpaceDE w:val="0"/>
              <w:autoSpaceDN w:val="0"/>
              <w:adjustRightInd w:val="0"/>
              <w:rPr>
                <w:rFonts w:cs="mHelvetica"/>
                <w:b/>
                <w:color w:val="FF0000"/>
                <w:sz w:val="24"/>
                <w:szCs w:val="24"/>
              </w:rPr>
            </w:pPr>
            <w:r w:rsidRPr="00812171">
              <w:rPr>
                <w:noProof/>
                <w:sz w:val="24"/>
                <w:szCs w:val="24"/>
              </w:rPr>
              <w:drawing>
                <wp:inline distT="0" distB="0" distL="0" distR="0" wp14:anchorId="20078D42" wp14:editId="5CC2D7F2">
                  <wp:extent cx="2171700" cy="14668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71700" cy="1466850"/>
                          </a:xfrm>
                          <a:prstGeom prst="rect">
                            <a:avLst/>
                          </a:prstGeom>
                        </pic:spPr>
                      </pic:pic>
                    </a:graphicData>
                  </a:graphic>
                </wp:inline>
              </w:drawing>
            </w:r>
          </w:p>
          <w:p w:rsidR="00ED18CD" w:rsidRPr="00812171" w:rsidRDefault="00ED18CD" w:rsidP="00ED18CD">
            <w:pPr>
              <w:autoSpaceDE w:val="0"/>
              <w:autoSpaceDN w:val="0"/>
              <w:adjustRightInd w:val="0"/>
              <w:rPr>
                <w:sz w:val="24"/>
                <w:szCs w:val="24"/>
              </w:rPr>
            </w:pPr>
            <w:r w:rsidRPr="00812171">
              <w:rPr>
                <w:sz w:val="24"/>
                <w:szCs w:val="24"/>
              </w:rPr>
              <w:t>Alveoller, havanın solunum sisteminde ulaştığı son yerdir. Burada kılcal damarlar bulunur. Bu damarlarla alveoller arasında gaz alışverişi gerçekleşir. Karbondioksit gazı, damarlardaki kandan alveollere geçer. Aynı zamanda alveolden oksijen de damarlara geçerek damarlardaki kana karışır.</w:t>
            </w:r>
          </w:p>
          <w:p w:rsidR="00ED18CD" w:rsidRPr="00812171" w:rsidRDefault="00ED18CD" w:rsidP="00ED18CD">
            <w:pPr>
              <w:autoSpaceDE w:val="0"/>
              <w:autoSpaceDN w:val="0"/>
              <w:adjustRightInd w:val="0"/>
              <w:rPr>
                <w:sz w:val="24"/>
                <w:szCs w:val="24"/>
              </w:rPr>
            </w:pPr>
          </w:p>
          <w:p w:rsidR="00ED18CD" w:rsidRPr="00812171" w:rsidRDefault="00ED18CD" w:rsidP="00ED18CD">
            <w:pPr>
              <w:autoSpaceDE w:val="0"/>
              <w:autoSpaceDN w:val="0"/>
              <w:adjustRightInd w:val="0"/>
              <w:rPr>
                <w:sz w:val="24"/>
                <w:szCs w:val="24"/>
              </w:rPr>
            </w:pPr>
            <w:r w:rsidRPr="00812171">
              <w:rPr>
                <w:sz w:val="24"/>
                <w:szCs w:val="24"/>
              </w:rPr>
              <w:t>Soluk Alıp Verme</w:t>
            </w:r>
          </w:p>
          <w:p w:rsidR="00ED18CD" w:rsidRDefault="00ED18CD" w:rsidP="00ED18CD">
            <w:pPr>
              <w:autoSpaceDE w:val="0"/>
              <w:autoSpaceDN w:val="0"/>
              <w:adjustRightInd w:val="0"/>
              <w:rPr>
                <w:sz w:val="24"/>
                <w:szCs w:val="24"/>
              </w:rPr>
            </w:pPr>
            <w:r w:rsidRPr="00812171">
              <w:rPr>
                <w:sz w:val="24"/>
                <w:szCs w:val="24"/>
              </w:rPr>
              <w:t>Soluk alıp verme sırasında, göğüs kafesinizde ve akciğerlerinizde bazı değişiklikler olur. “Nefes Al, Nefes Ver” deneyindeki akciğer modelini hatırlayınız. Diyaframı temsil eden büyük balonu düğümden çektiğinizde iç hacim büyüyordu. Buna bağlı olarak akciğerleri temsil eden küçük balonlar şişmişti. Akciğerler gerçekleştirdiğiniz modeldeki</w:t>
            </w:r>
          </w:p>
          <w:p w:rsidR="00ED18CD" w:rsidRDefault="00ED18CD" w:rsidP="00ED18CD">
            <w:pPr>
              <w:autoSpaceDE w:val="0"/>
              <w:autoSpaceDN w:val="0"/>
              <w:adjustRightInd w:val="0"/>
              <w:rPr>
                <w:sz w:val="24"/>
                <w:szCs w:val="24"/>
              </w:rPr>
            </w:pPr>
          </w:p>
          <w:p w:rsidR="00ED18CD" w:rsidRDefault="00ED18CD" w:rsidP="00ED18CD">
            <w:pPr>
              <w:autoSpaceDE w:val="0"/>
              <w:autoSpaceDN w:val="0"/>
              <w:adjustRightInd w:val="0"/>
              <w:rPr>
                <w:sz w:val="24"/>
                <w:szCs w:val="24"/>
              </w:rPr>
            </w:pPr>
          </w:p>
          <w:p w:rsidR="00ED18CD" w:rsidRPr="00812171" w:rsidRDefault="00ED18CD" w:rsidP="00ED18CD">
            <w:pPr>
              <w:autoSpaceDE w:val="0"/>
              <w:autoSpaceDN w:val="0"/>
              <w:adjustRightInd w:val="0"/>
              <w:rPr>
                <w:sz w:val="24"/>
                <w:szCs w:val="24"/>
              </w:rPr>
            </w:pPr>
            <w:r w:rsidRPr="00812171">
              <w:rPr>
                <w:sz w:val="24"/>
                <w:szCs w:val="24"/>
              </w:rPr>
              <w:lastRenderedPageBreak/>
              <w:t xml:space="preserve"> </w:t>
            </w:r>
            <w:proofErr w:type="gramStart"/>
            <w:r w:rsidRPr="00812171">
              <w:rPr>
                <w:sz w:val="24"/>
                <w:szCs w:val="24"/>
              </w:rPr>
              <w:t>gibi</w:t>
            </w:r>
            <w:proofErr w:type="gramEnd"/>
            <w:r w:rsidRPr="00812171">
              <w:rPr>
                <w:sz w:val="24"/>
                <w:szCs w:val="24"/>
              </w:rPr>
              <w:t xml:space="preserve"> hareket eder. Diyafram, içeri doğru kubbe durumundayken akciğerlerin, iç hacmi küçüktür. Diyafram, kasılarak düzleştiğinde iç hacim genişler. İç hacmin genişlemesiyle akciğerde boşluk oluşur. Oluşan boşluğu doldurmak üzere akciğerlere hava girişi olur. Diyafram gevşeyerek tekrar </w:t>
            </w:r>
            <w:proofErr w:type="spellStart"/>
            <w:r w:rsidRPr="00812171">
              <w:rPr>
                <w:sz w:val="24"/>
                <w:szCs w:val="24"/>
              </w:rPr>
              <w:t>kubbe</w:t>
            </w:r>
            <w:bookmarkStart w:id="0" w:name="_GoBack"/>
            <w:bookmarkEnd w:id="0"/>
            <w:r w:rsidRPr="00812171">
              <w:rPr>
                <w:sz w:val="24"/>
                <w:szCs w:val="24"/>
              </w:rPr>
              <w:t>leştiğinde</w:t>
            </w:r>
            <w:proofErr w:type="spellEnd"/>
            <w:r w:rsidRPr="00812171">
              <w:rPr>
                <w:sz w:val="24"/>
                <w:szCs w:val="24"/>
              </w:rPr>
              <w:t xml:space="preserve"> iç hacim daralır. Bu durumda içerideki hava dışarı doğru itilmiş olur. Bu olay aşağıdaki şekilde görülmektedir.</w:t>
            </w:r>
          </w:p>
          <w:p w:rsidR="00ED18CD" w:rsidRPr="00812171" w:rsidRDefault="00ED18CD" w:rsidP="00ED18CD">
            <w:pPr>
              <w:autoSpaceDE w:val="0"/>
              <w:autoSpaceDN w:val="0"/>
              <w:adjustRightInd w:val="0"/>
              <w:rPr>
                <w:sz w:val="24"/>
                <w:szCs w:val="24"/>
              </w:rPr>
            </w:pPr>
          </w:p>
          <w:p w:rsidR="00ED18CD" w:rsidRPr="00812171" w:rsidRDefault="00ED18CD" w:rsidP="00ED18CD">
            <w:pPr>
              <w:autoSpaceDE w:val="0"/>
              <w:autoSpaceDN w:val="0"/>
              <w:adjustRightInd w:val="0"/>
              <w:rPr>
                <w:rFonts w:cs="mHelvetica"/>
                <w:b/>
                <w:color w:val="FF0000"/>
                <w:sz w:val="24"/>
                <w:szCs w:val="24"/>
              </w:rPr>
            </w:pPr>
            <w:r w:rsidRPr="00812171">
              <w:rPr>
                <w:noProof/>
                <w:sz w:val="24"/>
                <w:szCs w:val="24"/>
              </w:rPr>
              <w:drawing>
                <wp:inline distT="0" distB="0" distL="0" distR="0" wp14:anchorId="39E336E1" wp14:editId="5CBD3904">
                  <wp:extent cx="3228975" cy="175260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28975" cy="1752600"/>
                          </a:xfrm>
                          <a:prstGeom prst="rect">
                            <a:avLst/>
                          </a:prstGeom>
                        </pic:spPr>
                      </pic:pic>
                    </a:graphicData>
                  </a:graphic>
                </wp:inline>
              </w:drawing>
            </w:r>
          </w:p>
          <w:p w:rsidR="00ED18CD" w:rsidRPr="00812171" w:rsidRDefault="00ED18CD" w:rsidP="00ED18CD">
            <w:pPr>
              <w:rPr>
                <w:rFonts w:ascii="Monotype Corsiva" w:hAnsi="Monotype Corsiva"/>
                <w:color w:val="00B0F0"/>
                <w:sz w:val="24"/>
                <w:szCs w:val="24"/>
              </w:rPr>
            </w:pPr>
          </w:p>
          <w:p w:rsidR="00385926" w:rsidRPr="00385926" w:rsidRDefault="00385926" w:rsidP="00385926">
            <w:pPr>
              <w:autoSpaceDE w:val="0"/>
              <w:autoSpaceDN w:val="0"/>
              <w:adjustRightInd w:val="0"/>
            </w:pPr>
          </w:p>
          <w:p w:rsidR="000E120A" w:rsidRDefault="000E120A" w:rsidP="00385926">
            <w:pPr>
              <w:autoSpaceDE w:val="0"/>
              <w:autoSpaceDN w:val="0"/>
              <w:adjustRightInd w:val="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85926"/>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ED18CD" w:rsidP="00125FE2">
      <w:pPr>
        <w:jc w:val="center"/>
        <w:rPr>
          <w:sz w:val="24"/>
          <w:szCs w:val="24"/>
        </w:rPr>
      </w:pPr>
      <w:hyperlink r:id="rId7"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Helvetica">
    <w:panose1 w:val="00000000000000000000"/>
    <w:charset w:val="A2"/>
    <w:family w:val="auto"/>
    <w:notTrueType/>
    <w:pitch w:val="default"/>
    <w:sig w:usb0="00000005" w:usb1="00000000" w:usb2="00000000" w:usb3="00000000" w:csb0="00000010"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0"/>
  </w:num>
  <w:num w:numId="5">
    <w:abstractNumId w:val="8"/>
  </w:num>
  <w:num w:numId="6">
    <w:abstractNumId w:val="2"/>
  </w:num>
  <w:num w:numId="7">
    <w:abstractNumId w:val="11"/>
  </w:num>
  <w:num w:numId="8">
    <w:abstractNumId w:val="7"/>
  </w:num>
  <w:num w:numId="9">
    <w:abstractNumId w:val="9"/>
  </w:num>
  <w:num w:numId="10">
    <w:abstractNumId w:val="4"/>
  </w:num>
  <w:num w:numId="11">
    <w:abstractNumId w:val="10"/>
  </w:num>
  <w:num w:numId="12">
    <w:abstractNumId w:val="15"/>
  </w:num>
  <w:num w:numId="13">
    <w:abstractNumId w:val="1"/>
  </w:num>
  <w:num w:numId="14">
    <w:abstractNumId w:val="6"/>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85926"/>
    <w:rsid w:val="0043426E"/>
    <w:rsid w:val="00635E5E"/>
    <w:rsid w:val="006C296D"/>
    <w:rsid w:val="00953B28"/>
    <w:rsid w:val="00A46C22"/>
    <w:rsid w:val="00B77C5E"/>
    <w:rsid w:val="00D84B6A"/>
    <w:rsid w:val="00ED18CD"/>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557</Words>
  <Characters>3176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9</cp:revision>
  <dcterms:created xsi:type="dcterms:W3CDTF">2015-09-18T15:07:00Z</dcterms:created>
  <dcterms:modified xsi:type="dcterms:W3CDTF">2015-10-25T14:49:00Z</dcterms:modified>
</cp:coreProperties>
</file>