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0A299B" w:rsidP="000A299B">
            <w:r>
              <w:t>22</w:t>
            </w:r>
            <w:r w:rsidR="00635E5E">
              <w:t>.Hafta (</w:t>
            </w:r>
            <w:r>
              <w:t>7 – 11</w:t>
            </w:r>
            <w:r w:rsidR="007017BD">
              <w:t xml:space="preserve"> </w:t>
            </w:r>
            <w:r w:rsidR="009A6F3A">
              <w:t>Mart</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56529B" w:rsidP="0056529B">
            <w:r>
              <w:t>3</w:t>
            </w:r>
            <w:r w:rsidR="00635E5E">
              <w:t>.Ünite:</w:t>
            </w:r>
            <w:r w:rsidR="00B0338F">
              <w:t xml:space="preserve"> </w:t>
            </w:r>
            <w:r>
              <w:t>Maddenin Yapısı ve Özellikleri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9A6F3A">
            <w:r>
              <w:t>Evsel Atıklar ve Geri Dönüşüm-Kimya Endüstrisi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606"/>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0A299B" w:rsidRPr="000A299B" w:rsidRDefault="000A299B" w:rsidP="000A299B">
            <w:r w:rsidRPr="000A299B">
              <w:t xml:space="preserve">7.3.5.6. Geri dönüşüm tesislerinin ekonomiye katkısını tartışır. </w:t>
            </w:r>
          </w:p>
          <w:p w:rsidR="000A299B" w:rsidRPr="000A299B" w:rsidRDefault="000A299B" w:rsidP="000A299B">
            <w:r w:rsidRPr="000A299B">
              <w:t>7.3.5.7. Yeniden kullanılabilecek eşyalarını, ihtiyacı olanlara iletmeye yönelik proje geliştirir.</w:t>
            </w:r>
          </w:p>
          <w:p w:rsidR="0072406D" w:rsidRDefault="000A299B" w:rsidP="007017BD">
            <w:r w:rsidRPr="000A299B">
              <w:t>7.3.6.1. Yakın çevresindeki kimya endüstrisi alanındaki işletmelerin, toplum ve ülke ekonomisine katkılarını fark eder.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36526B" w:rsidRDefault="0036526B">
            <w:r>
              <w:t>Geri Dönüşüm</w:t>
            </w:r>
          </w:p>
          <w:p w:rsidR="0036526B" w:rsidRDefault="0036526B">
            <w:r>
              <w:t>Yeniden Kullanma</w:t>
            </w:r>
          </w:p>
          <w:p w:rsidR="00804215" w:rsidRDefault="00804215" w:rsidP="00804215">
            <w:r>
              <w:t>Kimya Endüstrisi</w:t>
            </w:r>
          </w:p>
        </w:tc>
      </w:tr>
      <w:tr w:rsidR="00635E5E"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E6EF7" w:rsidRDefault="0036526B" w:rsidP="005E6EF7">
            <w:r>
              <w:t>-</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635E5E"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5E6EF7" w:rsidRDefault="00804215" w:rsidP="008103DB">
            <w:r>
              <w:t>-</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Neden Geri Dönüşüm?</w:t>
            </w:r>
          </w:p>
          <w:p w:rsidR="00BB45D6" w:rsidRDefault="0036526B" w:rsidP="0036526B">
            <w:pPr>
              <w:rPr>
                <w:rFonts w:eastAsia="Times New Roman"/>
              </w:rPr>
            </w:pPr>
            <w:r w:rsidRPr="0036526B">
              <w:rPr>
                <w:rFonts w:eastAsia="Times New Roman"/>
                <w:b/>
                <w:bCs/>
              </w:rPr>
              <w:t>Doğal kaynaklar</w:t>
            </w:r>
            <w:r w:rsidRPr="0036526B">
              <w:rPr>
                <w:rFonts w:eastAsia="Times New Roman"/>
              </w:rPr>
              <w:t xml:space="preserve">ımız, dünya nüfusunun artması ve tüketim alışkanlıklarının değişmesi nedeni ile her geçen gün azalmaktadır. Bu nedenle malzeme tüketimini azaltmak, değerlendirilebilir nitelikli atıkları geri dönüştürmek sureti ile doğal kaynakların verimli olarak kullanılması gerekmektedir. </w:t>
            </w:r>
          </w:p>
          <w:p w:rsidR="00BB45D6" w:rsidRPr="0036526B" w:rsidRDefault="0036526B" w:rsidP="0036526B">
            <w:proofErr w:type="gramStart"/>
            <w:r w:rsidRPr="0036526B">
              <w:rPr>
                <w:rFonts w:eastAsia="Times New Roman"/>
              </w:rPr>
              <w:t>Ormanlar, su, petrol vb. doğal kaynaklarımızın üretim sürecinde kullanılması sonucu, cam, metal, plastik ve kâğıt/karton ambalajlar elde edilmektedir</w:t>
            </w:r>
            <w:hyperlink r:id="rId5" w:history="1">
              <w:r w:rsidRPr="0036526B">
                <w:rPr>
                  <w:rStyle w:val="Kpr"/>
                  <w:rFonts w:cs="Tahoma"/>
                </w:rPr>
                <w:t>.</w:t>
              </w:r>
            </w:hyperlink>
            <w:r w:rsidRPr="0036526B">
              <w:rPr>
                <w:rFonts w:eastAsia="Times New Roman"/>
              </w:rPr>
              <w:t> Piyasaya sürülen ambalajların atık haline geldikten sonra, türlerine göre ayrılıp geri dönüşüm sanayine sevk edilmesi sonucu, geri dönüştürülmüş malzemeler çeşitli ürünlerin üretim aşamasında ikincil hammadde olarak kullanılmaktadır</w:t>
            </w:r>
            <w:hyperlink r:id="rId6" w:history="1">
              <w:r w:rsidRPr="0036526B">
                <w:rPr>
                  <w:rStyle w:val="Kpr"/>
                  <w:rFonts w:cs="Tahoma"/>
                </w:rPr>
                <w:t>.</w:t>
              </w:r>
            </w:hyperlink>
            <w:r w:rsidRPr="0036526B">
              <w:rPr>
                <w:rFonts w:eastAsia="Times New Roman"/>
              </w:rPr>
              <w:t> </w:t>
            </w:r>
            <w:proofErr w:type="gramEnd"/>
            <w:r w:rsidRPr="0036526B">
              <w:rPr>
                <w:rFonts w:eastAsia="Times New Roman"/>
              </w:rPr>
              <w:t xml:space="preserve">Böylece doğal kaynaklarımız daha az kullanılarak, </w:t>
            </w:r>
            <w:r w:rsidRPr="0036526B">
              <w:t>doğaya katkı sağlanmış olmaktadır.</w:t>
            </w:r>
            <w:bookmarkStart w:id="0" w:name="_GoBack"/>
            <w:bookmarkEnd w:id="0"/>
          </w:p>
          <w:p w:rsidR="0036526B" w:rsidRPr="0036526B" w:rsidRDefault="0036526B" w:rsidP="0036526B">
            <w:r w:rsidRPr="0036526B">
              <w:t>Geri dönüşüm, malzeme</w:t>
            </w:r>
            <w:r w:rsidRPr="0036526B">
              <w:rPr>
                <w:rFonts w:eastAsia="Times New Roman"/>
              </w:rPr>
              <w:t xml:space="preserve"> üretiminde endüstriyel işlem sayısını azaltmak suretiyle </w:t>
            </w:r>
            <w:r w:rsidRPr="0036526B">
              <w:rPr>
                <w:rFonts w:eastAsia="Times New Roman"/>
                <w:b/>
                <w:bCs/>
              </w:rPr>
              <w:t>enerji tasarrufu</w:t>
            </w:r>
            <w:r w:rsidRPr="0036526B">
              <w:rPr>
                <w:b/>
                <w:bCs/>
              </w:rPr>
              <w:t xml:space="preserve"> </w:t>
            </w:r>
            <w:r w:rsidRPr="0036526B">
              <w:rPr>
                <w:rFonts w:eastAsia="Times New Roman"/>
              </w:rPr>
              <w:t xml:space="preserve">sağlar. Örneğin; metal içecek kutularının geri dönüşümü işleminde bu metaller direkt olarak eritilerek yeni ürün haline dönüştürüldüğünden, bu metallerin üretimi için kullanılan maden cevheri ve bu cevherin saflaştırılma işlemlerine gerek olmadan üretim </w:t>
            </w:r>
            <w:r w:rsidRPr="0036526B">
              <w:t>gerçekleştirilebilmektedir.</w:t>
            </w:r>
          </w:p>
          <w:p w:rsidR="0036526B" w:rsidRPr="0036526B" w:rsidRDefault="0036526B" w:rsidP="0036526B">
            <w:r w:rsidRPr="0036526B">
              <w:t>Geri dönüşüm</w:t>
            </w:r>
            <w:r w:rsidRPr="0036526B">
              <w:rPr>
                <w:rFonts w:eastAsia="Times New Roman"/>
              </w:rPr>
              <w:t xml:space="preserve"> uzun vadede verimli bir </w:t>
            </w:r>
            <w:r w:rsidRPr="0036526B">
              <w:rPr>
                <w:rFonts w:eastAsia="Times New Roman"/>
                <w:b/>
                <w:bCs/>
              </w:rPr>
              <w:t>ekonomik yatırım</w:t>
            </w:r>
            <w:r w:rsidRPr="0036526B">
              <w:rPr>
                <w:rFonts w:eastAsia="Times New Roman"/>
              </w:rPr>
              <w:t>dır. Hammaddenin azalması ve doğal kaynakların hızla tükenmesi sonucunda ekonomik problemler ortaya çıkabilmektedir</w:t>
            </w:r>
            <w:hyperlink r:id="rId7" w:history="1">
              <w:r w:rsidR="00BB45D6" w:rsidRPr="00BB45D6">
                <w:rPr>
                  <w:rStyle w:val="Kpr"/>
                  <w:rFonts w:ascii="Tahoma" w:hAnsi="Tahoma" w:cs="Tahoma"/>
                  <w:color w:val="auto"/>
                  <w:sz w:val="21"/>
                  <w:szCs w:val="21"/>
                  <w:u w:val="none"/>
                </w:rPr>
                <w:t>.</w:t>
              </w:r>
            </w:hyperlink>
            <w:r w:rsidRPr="0036526B">
              <w:rPr>
                <w:rFonts w:eastAsia="Times New Roman"/>
              </w:rPr>
              <w:t xml:space="preserve">  Geri dönüşümün bu noktada ekonomi üzerinde olumlu etkileri olabilmektedir. Enerji ve Doğal Kaynakların </w:t>
            </w:r>
            <w:r w:rsidRPr="0036526B">
              <w:t>tüketiminin azaltılması ülke ekonomisi için de büyük önem arz etmektedir</w:t>
            </w:r>
            <w:hyperlink r:id="rId8" w:history="1">
              <w:r w:rsidR="00BB45D6" w:rsidRPr="00BB45D6">
                <w:rPr>
                  <w:rStyle w:val="Kpr"/>
                  <w:rFonts w:ascii="Tahoma" w:hAnsi="Tahoma" w:cs="Tahoma"/>
                  <w:color w:val="auto"/>
                  <w:sz w:val="21"/>
                  <w:szCs w:val="21"/>
                  <w:u w:val="none"/>
                </w:rPr>
                <w:t>.</w:t>
              </w:r>
            </w:hyperlink>
            <w:r w:rsidRPr="0036526B">
              <w:t> Ayrıca dışarıya bağımlı olduğumuz petrol gibi hammaddelerin tüketiminin azalması sonucu paramız yurtiçinde kalmakta ve ekonomimiz daha iyiye gitmektedir.</w:t>
            </w:r>
          </w:p>
          <w:p w:rsidR="0036526B" w:rsidRPr="0036526B" w:rsidRDefault="0036526B" w:rsidP="0036526B">
            <w:r w:rsidRPr="0036526B">
              <w:t xml:space="preserve">Geri dönüşümün uygulanması ile çöplere giden atık miktarında azalma sağlanarak. </w:t>
            </w:r>
            <w:r w:rsidRPr="0036526B">
              <w:lastRenderedPageBreak/>
              <w:t>Bu atıkların taşınması ve depolanması işlemleri için daha az miktarda alan ve enerji kullanılmış olur.</w:t>
            </w:r>
          </w:p>
          <w:p w:rsidR="0036526B" w:rsidRPr="0036526B" w:rsidRDefault="0036526B" w:rsidP="0036526B">
            <w:proofErr w:type="gramStart"/>
            <w:r w:rsidRPr="0036526B">
              <w:t>Üzerinde yaşadığımız Dünyanın bize sağlamış olduğu doğal kaynakların verimli bir şekilde kullanılması, gelecek nesillerin de kaynak sıkıntısı çekmemesi için önem arz etmektedir</w:t>
            </w:r>
            <w:hyperlink r:id="rId9" w:history="1">
              <w:r w:rsidRPr="0036526B">
                <w:rPr>
                  <w:rStyle w:val="Kpr"/>
                </w:rPr>
                <w:t>.</w:t>
              </w:r>
            </w:hyperlink>
            <w:r w:rsidRPr="0036526B">
              <w:t xml:space="preserve"> Biz bu Dünyanın doğal kaynaklarını ne kadar tasarruflu kullanırsak; bizden sonraki nesiller de o kadar az kaynak sıkıntısı çekecek ve gelecek kuşaklar da doğal kaynaklardan yararlanma olanağı bulacaktır. </w:t>
            </w:r>
            <w:proofErr w:type="gramEnd"/>
            <w:r w:rsidRPr="0036526B">
              <w:t>Bunun yanı sıra ülkemizde geri dönüşüm sektörü her geçen gün gelişmektedir. Bu gelişim, yeni tesislerin kurulmasını ve yeni iş imkânlarının oluşmasını sağlayacaktır.</w:t>
            </w:r>
          </w:p>
          <w:p w:rsidR="0036526B" w:rsidRPr="0036526B" w:rsidRDefault="0036526B" w:rsidP="0036526B">
            <w:r w:rsidRPr="0036526B">
              <w:t>Dikkat!</w:t>
            </w:r>
          </w:p>
          <w:p w:rsidR="0036526B" w:rsidRPr="0036526B" w:rsidRDefault="0036526B" w:rsidP="0036526B">
            <w:pPr>
              <w:pStyle w:val="ListeParagraf"/>
              <w:numPr>
                <w:ilvl w:val="0"/>
                <w:numId w:val="47"/>
              </w:numPr>
            </w:pPr>
            <w:r w:rsidRPr="0036526B">
              <w:t xml:space="preserve">Sadece 1 metal içecek kutusunun geri dönüşümünden elde edilen enerji ile 100 </w:t>
            </w:r>
            <w:proofErr w:type="spellStart"/>
            <w:r w:rsidRPr="0036526B">
              <w:t>Watt’lık</w:t>
            </w:r>
            <w:proofErr w:type="spellEnd"/>
            <w:r w:rsidRPr="0036526B">
              <w:t xml:space="preserve"> bir ampul 20 saat çalıştırılır.</w:t>
            </w:r>
          </w:p>
          <w:p w:rsidR="0036526B" w:rsidRPr="0036526B" w:rsidRDefault="0036526B" w:rsidP="0036526B">
            <w:pPr>
              <w:pStyle w:val="ListeParagraf"/>
              <w:numPr>
                <w:ilvl w:val="0"/>
                <w:numId w:val="47"/>
              </w:numPr>
            </w:pPr>
            <w:r w:rsidRPr="0036526B">
              <w:t>Geri dönüştürülen 1 ton cam atık ile 100 litre petrol tasarrufu sağlanır.</w:t>
            </w:r>
          </w:p>
          <w:p w:rsidR="0036526B" w:rsidRPr="0036526B" w:rsidRDefault="0036526B" w:rsidP="0036526B">
            <w:pPr>
              <w:pStyle w:val="ListeParagraf"/>
              <w:numPr>
                <w:ilvl w:val="0"/>
                <w:numId w:val="47"/>
              </w:numPr>
            </w:pPr>
            <w:r w:rsidRPr="0036526B">
              <w:t xml:space="preserve">Geri dönüştürülen 1 ton </w:t>
            </w:r>
            <w:proofErr w:type="gramStart"/>
            <w:r w:rsidRPr="0036526B">
              <w:t>kağıt</w:t>
            </w:r>
            <w:proofErr w:type="gramEnd"/>
            <w:r w:rsidRPr="0036526B">
              <w:t>/karton atık ile 17 ağacın hayatı kurtulur.</w:t>
            </w:r>
          </w:p>
          <w:p w:rsidR="0036526B" w:rsidRPr="00804215" w:rsidRDefault="0036526B" w:rsidP="0036526B">
            <w:pPr>
              <w:pStyle w:val="ListeParagraf"/>
              <w:numPr>
                <w:ilvl w:val="0"/>
                <w:numId w:val="47"/>
              </w:numPr>
              <w:rPr>
                <w:rFonts w:ascii="Tahoma" w:hAnsi="Tahoma" w:cs="Tahoma"/>
                <w:color w:val="050505"/>
                <w:sz w:val="21"/>
                <w:szCs w:val="21"/>
              </w:rPr>
            </w:pPr>
            <w:r w:rsidRPr="0036526B">
              <w:t>Plastik ambalaj ve atıklarının geri dönüşümünden, elyaf içeren tekstil ürünleri, atık su boruları gibi malzemeler üretilir.</w:t>
            </w:r>
          </w:p>
          <w:p w:rsidR="00804215" w:rsidRPr="00804215" w:rsidRDefault="00804215" w:rsidP="00804215">
            <w:pPr>
              <w:rPr>
                <w:rFonts w:ascii="Tahoma" w:hAnsi="Tahoma" w:cs="Tahoma"/>
                <w:color w:val="050505"/>
                <w:sz w:val="21"/>
                <w:szCs w:val="21"/>
              </w:rPr>
            </w:pPr>
          </w:p>
          <w:p w:rsidR="00804215" w:rsidRDefault="00804215" w:rsidP="00804215">
            <w:pPr>
              <w:rPr>
                <w:rFonts w:ascii="Tahoma" w:hAnsi="Tahoma" w:cs="Tahoma"/>
                <w:b/>
                <w:bCs/>
                <w:color w:val="050505"/>
                <w:sz w:val="21"/>
                <w:szCs w:val="21"/>
              </w:rPr>
            </w:pPr>
            <w:r w:rsidRPr="00804215">
              <w:rPr>
                <w:rFonts w:ascii="Tahoma" w:hAnsi="Tahoma" w:cs="Tahoma"/>
                <w:b/>
                <w:bCs/>
                <w:color w:val="050505"/>
                <w:sz w:val="21"/>
                <w:szCs w:val="21"/>
              </w:rPr>
              <w:t>Kimya Endüstrisi</w:t>
            </w:r>
          </w:p>
          <w:p w:rsidR="00804215" w:rsidRPr="00804215" w:rsidRDefault="00804215" w:rsidP="00804215">
            <w:pPr>
              <w:rPr>
                <w:rFonts w:ascii="Times New Roman" w:eastAsia="Times New Roman" w:hAnsi="Times New Roman" w:cs="Times New Roman"/>
                <w:sz w:val="24"/>
                <w:szCs w:val="24"/>
              </w:rPr>
            </w:pPr>
            <w:r w:rsidRPr="00804215">
              <w:rPr>
                <w:rFonts w:ascii="Times New Roman" w:eastAsia="Times New Roman" w:hAnsi="Times New Roman" w:cs="Times New Roman"/>
                <w:noProof/>
                <w:sz w:val="24"/>
                <w:szCs w:val="24"/>
              </w:rPr>
              <w:drawing>
                <wp:inline distT="0" distB="0" distL="0" distR="0">
                  <wp:extent cx="4269740" cy="1933575"/>
                  <wp:effectExtent l="0" t="0" r="0" b="0"/>
                  <wp:docPr id="1" name="Resim 1" descr="Kimya Endüstrisi Ürün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mya Endüstrisi Ürünle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6826" cy="1945841"/>
                          </a:xfrm>
                          <a:prstGeom prst="rect">
                            <a:avLst/>
                          </a:prstGeom>
                          <a:noFill/>
                          <a:ln>
                            <a:noFill/>
                          </a:ln>
                        </pic:spPr>
                      </pic:pic>
                    </a:graphicData>
                  </a:graphic>
                </wp:inline>
              </w:drawing>
            </w:r>
          </w:p>
          <w:p w:rsidR="00804215" w:rsidRPr="00804215" w:rsidRDefault="00804215" w:rsidP="00804215">
            <w:pPr>
              <w:rPr>
                <w:rFonts w:ascii="Tahoma" w:hAnsi="Tahoma" w:cs="Tahoma"/>
                <w:color w:val="050505"/>
                <w:sz w:val="21"/>
                <w:szCs w:val="21"/>
              </w:rPr>
            </w:pPr>
            <w:r w:rsidRPr="00804215">
              <w:rPr>
                <w:rFonts w:ascii="Tahoma" w:hAnsi="Tahoma" w:cs="Tahoma"/>
                <w:color w:val="050505"/>
                <w:sz w:val="21"/>
                <w:szCs w:val="21"/>
              </w:rPr>
              <w:t>Günlük hayatta sıkça karşılaştığımız ve kullandığımız ilaçlar, sabun, deterjan gibi temizlik maddeleri, plastikler, kozmetik ürünler, gıda maddeleri, tekstil ürünleri, yapı malzemeleri, gübre, patlayıcı madde, boya, laboratuvar kimyasalları gibi ürünler ya da bunların ham maddeleri kimyasal maddelerden üretilir ve kimya endüstrisinin birer ürünüdür</w:t>
            </w:r>
            <w:hyperlink r:id="rId11" w:history="1">
              <w:r w:rsidRPr="00BB45D6">
                <w:rPr>
                  <w:rStyle w:val="Kpr"/>
                  <w:rFonts w:ascii="Tahoma" w:hAnsi="Tahoma" w:cs="Tahoma"/>
                  <w:color w:val="auto"/>
                  <w:sz w:val="21"/>
                  <w:szCs w:val="21"/>
                  <w:u w:val="none"/>
                </w:rPr>
                <w:t>.</w:t>
              </w:r>
            </w:hyperlink>
            <w:r w:rsidRPr="00804215">
              <w:rPr>
                <w:rFonts w:ascii="Tahoma" w:hAnsi="Tahoma" w:cs="Tahoma"/>
                <w:color w:val="050505"/>
                <w:sz w:val="21"/>
                <w:szCs w:val="21"/>
              </w:rPr>
              <w:t> Bu ürünler kimya fabrikalarında üretilir</w:t>
            </w:r>
            <w:hyperlink r:id="rId12" w:history="1">
              <w:r w:rsidR="00BB45D6" w:rsidRPr="00BB45D6">
                <w:rPr>
                  <w:rStyle w:val="Kpr"/>
                  <w:rFonts w:ascii="Tahoma" w:hAnsi="Tahoma" w:cs="Tahoma"/>
                  <w:color w:val="auto"/>
                  <w:sz w:val="21"/>
                  <w:szCs w:val="21"/>
                  <w:u w:val="none"/>
                </w:rPr>
                <w:t>.</w:t>
              </w:r>
            </w:hyperlink>
          </w:p>
          <w:p w:rsidR="00804215" w:rsidRPr="00804215" w:rsidRDefault="00804215" w:rsidP="00804215">
            <w:pPr>
              <w:rPr>
                <w:rFonts w:ascii="Tahoma" w:hAnsi="Tahoma" w:cs="Tahoma"/>
                <w:color w:val="050505"/>
                <w:sz w:val="21"/>
                <w:szCs w:val="21"/>
              </w:rPr>
            </w:pPr>
            <w:r w:rsidRPr="00804215">
              <w:rPr>
                <w:rFonts w:ascii="Tahoma" w:hAnsi="Tahoma" w:cs="Tahoma"/>
                <w:color w:val="050505"/>
                <w:sz w:val="21"/>
                <w:szCs w:val="21"/>
              </w:rPr>
              <w:t>Kimya endüstrisi çok uzun yıllara dayanan bir geçmişe sahiptir ve temeli kimya bilimidir. Kimya endüstrisi, endüstri ile ilgili ürünlerin üretimine ve gelişimine katkı sağlar</w:t>
            </w:r>
            <w:hyperlink r:id="rId13" w:history="1">
              <w:r w:rsidR="00BB45D6" w:rsidRPr="00BB45D6">
                <w:rPr>
                  <w:rStyle w:val="Kpr"/>
                  <w:rFonts w:ascii="Tahoma" w:hAnsi="Tahoma" w:cs="Tahoma"/>
                  <w:color w:val="auto"/>
                  <w:sz w:val="21"/>
                  <w:szCs w:val="21"/>
                  <w:u w:val="none"/>
                </w:rPr>
                <w:t>.</w:t>
              </w:r>
            </w:hyperlink>
            <w:r w:rsidRPr="00804215">
              <w:rPr>
                <w:rFonts w:ascii="Tahoma" w:hAnsi="Tahoma" w:cs="Tahoma"/>
                <w:color w:val="050505"/>
                <w:sz w:val="21"/>
                <w:szCs w:val="21"/>
              </w:rPr>
              <w:t> Kısaca endüstrinin temeli kimyadır denilebilir</w:t>
            </w:r>
            <w:hyperlink r:id="rId14" w:history="1">
              <w:r w:rsidR="00BB45D6" w:rsidRPr="00BB45D6">
                <w:rPr>
                  <w:rStyle w:val="Kpr"/>
                  <w:rFonts w:ascii="Tahoma" w:hAnsi="Tahoma" w:cs="Tahoma"/>
                  <w:color w:val="auto"/>
                  <w:sz w:val="21"/>
                  <w:szCs w:val="21"/>
                  <w:u w:val="none"/>
                </w:rPr>
                <w:t>.</w:t>
              </w:r>
            </w:hyperlink>
            <w:r w:rsidRPr="00804215">
              <w:rPr>
                <w:rFonts w:ascii="Tahoma" w:hAnsi="Tahoma" w:cs="Tahoma"/>
                <w:color w:val="050505"/>
                <w:sz w:val="21"/>
                <w:szCs w:val="21"/>
              </w:rPr>
              <w:t> Endüstride üretilen hemen her şeyin ham maddesi kimya sektöründen sağlanır. Otomotiv, deri ürünleri, cam, tekstil ve kâğıt türleri gibi endüstri sektörleri kimya sektörü ile bağlantılı olarak çalışmaktadır.</w:t>
            </w:r>
          </w:p>
          <w:p w:rsidR="00804215" w:rsidRPr="00804215" w:rsidRDefault="00804215" w:rsidP="00804215">
            <w:pPr>
              <w:rPr>
                <w:rFonts w:ascii="Tahoma" w:hAnsi="Tahoma" w:cs="Tahoma"/>
                <w:color w:val="050505"/>
                <w:sz w:val="21"/>
                <w:szCs w:val="21"/>
              </w:rPr>
            </w:pPr>
            <w:r w:rsidRPr="00804215">
              <w:rPr>
                <w:rFonts w:ascii="Tahoma" w:hAnsi="Tahoma" w:cs="Tahoma"/>
                <w:noProof/>
                <w:color w:val="050505"/>
                <w:sz w:val="21"/>
                <w:szCs w:val="21"/>
              </w:rPr>
              <w:drawing>
                <wp:inline distT="0" distB="0" distL="0" distR="0">
                  <wp:extent cx="4695825" cy="1285116"/>
                  <wp:effectExtent l="0" t="0" r="0" b="0"/>
                  <wp:docPr id="4" name="Resim 4" descr="Kimya Endüstrisi İle İlişkili Endüsti Sektör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mya Endüstrisi İle İlişkili Endüsti Sektörler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0" cy="1291198"/>
                          </a:xfrm>
                          <a:prstGeom prst="rect">
                            <a:avLst/>
                          </a:prstGeom>
                          <a:noFill/>
                          <a:ln>
                            <a:noFill/>
                          </a:ln>
                        </pic:spPr>
                      </pic:pic>
                    </a:graphicData>
                  </a:graphic>
                </wp:inline>
              </w:drawing>
            </w:r>
          </w:p>
          <w:p w:rsidR="00804215" w:rsidRPr="00804215" w:rsidRDefault="00804215" w:rsidP="00804215">
            <w:pPr>
              <w:rPr>
                <w:rFonts w:ascii="Tahoma" w:hAnsi="Tahoma" w:cs="Tahoma"/>
                <w:color w:val="050505"/>
                <w:sz w:val="21"/>
                <w:szCs w:val="21"/>
              </w:rPr>
            </w:pPr>
          </w:p>
          <w:p w:rsidR="00804215" w:rsidRPr="00804215" w:rsidRDefault="00804215" w:rsidP="00804215">
            <w:pPr>
              <w:rPr>
                <w:rFonts w:ascii="Tahoma" w:hAnsi="Tahoma" w:cs="Tahoma"/>
                <w:color w:val="050505"/>
                <w:sz w:val="21"/>
                <w:szCs w:val="21"/>
              </w:rPr>
            </w:pPr>
            <w:r w:rsidRPr="00804215">
              <w:rPr>
                <w:rFonts w:ascii="Tahoma" w:hAnsi="Tahoma" w:cs="Tahoma"/>
                <w:color w:val="050505"/>
                <w:sz w:val="21"/>
                <w:szCs w:val="21"/>
              </w:rPr>
              <w:t>Kimya sektörü ülkelerin gelişmişlik düzeylerini de doğrudan etkilemektedir. Ülkelerin endüstrilerinin gelişmesi kimya sektörü ile bağlantılıdır. Kimya endüstrisinde ürünlerin üretimi için fabrikalar ve işletmeler kurulur. Bu fabrikaların üretimleri ülke ekonomisine çok büyük katkılar sağlar. Günlük hayatta taşımacılık, tarım, sağlık ürünleri, ev işleri, tıp gibi alanlarda kullandığımız kimyasal ürünler kimya endüstrisi fabrika ve işletmelerinde üretilir. Kimya endüstrisi fabrika ve işletmelerinde üretilen ürünler ve bu ürünlerin ülkedeki kişi başına tüketimi o ülkenin gelişmişlik düzeyini doğrudan etkiler</w:t>
            </w:r>
            <w:hyperlink r:id="rId16" w:history="1">
              <w:r w:rsidR="00BB45D6" w:rsidRPr="00BB45D6">
                <w:rPr>
                  <w:rStyle w:val="Kpr"/>
                  <w:rFonts w:ascii="Tahoma" w:hAnsi="Tahoma" w:cs="Tahoma"/>
                  <w:color w:val="auto"/>
                  <w:sz w:val="21"/>
                  <w:szCs w:val="21"/>
                  <w:u w:val="none"/>
                </w:rPr>
                <w:t>.</w:t>
              </w:r>
            </w:hyperlink>
            <w:r w:rsidRPr="00804215">
              <w:rPr>
                <w:rFonts w:ascii="Tahoma" w:hAnsi="Tahoma" w:cs="Tahoma"/>
                <w:color w:val="050505"/>
                <w:sz w:val="21"/>
                <w:szCs w:val="21"/>
              </w:rPr>
              <w:t> Bu fabrikalarda çalışacak nitelikli insan gücü yetiştirilmesi ülke ekonomisine katkı sağlayarak ülkedeki işsizlik oranlarını düşürecektir.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95107D">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BB45D6" w:rsidP="00125FE2">
      <w:pPr>
        <w:jc w:val="center"/>
        <w:rPr>
          <w:sz w:val="24"/>
          <w:szCs w:val="24"/>
        </w:rPr>
      </w:pPr>
      <w:hyperlink r:id="rId17"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683870"/>
    <w:multiLevelType w:val="multilevel"/>
    <w:tmpl w:val="AA26E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435D8D"/>
    <w:multiLevelType w:val="hybridMultilevel"/>
    <w:tmpl w:val="58CA95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CB00502"/>
    <w:multiLevelType w:val="multilevel"/>
    <w:tmpl w:val="990C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60817BD"/>
    <w:multiLevelType w:val="multilevel"/>
    <w:tmpl w:val="A6FEF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FB25BB6"/>
    <w:multiLevelType w:val="multilevel"/>
    <w:tmpl w:val="546C1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43"/>
  </w:num>
  <w:num w:numId="3">
    <w:abstractNumId w:val="29"/>
  </w:num>
  <w:num w:numId="4">
    <w:abstractNumId w:val="1"/>
  </w:num>
  <w:num w:numId="5">
    <w:abstractNumId w:val="19"/>
  </w:num>
  <w:num w:numId="6">
    <w:abstractNumId w:val="4"/>
  </w:num>
  <w:num w:numId="7">
    <w:abstractNumId w:val="26"/>
  </w:num>
  <w:num w:numId="8">
    <w:abstractNumId w:val="14"/>
  </w:num>
  <w:num w:numId="9">
    <w:abstractNumId w:val="21"/>
  </w:num>
  <w:num w:numId="10">
    <w:abstractNumId w:val="9"/>
  </w:num>
  <w:num w:numId="11">
    <w:abstractNumId w:val="23"/>
  </w:num>
  <w:num w:numId="12">
    <w:abstractNumId w:val="46"/>
  </w:num>
  <w:num w:numId="13">
    <w:abstractNumId w:val="11"/>
  </w:num>
  <w:num w:numId="14">
    <w:abstractNumId w:val="39"/>
  </w:num>
  <w:num w:numId="15">
    <w:abstractNumId w:val="18"/>
  </w:num>
  <w:num w:numId="16">
    <w:abstractNumId w:val="32"/>
  </w:num>
  <w:num w:numId="17">
    <w:abstractNumId w:val="28"/>
  </w:num>
  <w:num w:numId="18">
    <w:abstractNumId w:val="5"/>
  </w:num>
  <w:num w:numId="19">
    <w:abstractNumId w:val="35"/>
  </w:num>
  <w:num w:numId="20">
    <w:abstractNumId w:val="24"/>
  </w:num>
  <w:num w:numId="21">
    <w:abstractNumId w:val="30"/>
  </w:num>
  <w:num w:numId="22">
    <w:abstractNumId w:val="0"/>
  </w:num>
  <w:num w:numId="23">
    <w:abstractNumId w:val="3"/>
  </w:num>
  <w:num w:numId="24">
    <w:abstractNumId w:val="6"/>
  </w:num>
  <w:num w:numId="25">
    <w:abstractNumId w:val="2"/>
  </w:num>
  <w:num w:numId="26">
    <w:abstractNumId w:val="38"/>
  </w:num>
  <w:num w:numId="27">
    <w:abstractNumId w:val="41"/>
  </w:num>
  <w:num w:numId="28">
    <w:abstractNumId w:val="33"/>
  </w:num>
  <w:num w:numId="29">
    <w:abstractNumId w:val="27"/>
  </w:num>
  <w:num w:numId="30">
    <w:abstractNumId w:val="40"/>
  </w:num>
  <w:num w:numId="31">
    <w:abstractNumId w:val="7"/>
  </w:num>
  <w:num w:numId="32">
    <w:abstractNumId w:val="42"/>
  </w:num>
  <w:num w:numId="33">
    <w:abstractNumId w:val="37"/>
  </w:num>
  <w:num w:numId="34">
    <w:abstractNumId w:val="17"/>
  </w:num>
  <w:num w:numId="35">
    <w:abstractNumId w:val="25"/>
  </w:num>
  <w:num w:numId="36">
    <w:abstractNumId w:val="22"/>
  </w:num>
  <w:num w:numId="37">
    <w:abstractNumId w:val="45"/>
  </w:num>
  <w:num w:numId="38">
    <w:abstractNumId w:val="31"/>
  </w:num>
  <w:num w:numId="39">
    <w:abstractNumId w:val="16"/>
  </w:num>
  <w:num w:numId="40">
    <w:abstractNumId w:val="15"/>
  </w:num>
  <w:num w:numId="41">
    <w:abstractNumId w:val="36"/>
  </w:num>
  <w:num w:numId="42">
    <w:abstractNumId w:val="34"/>
  </w:num>
  <w:num w:numId="43">
    <w:abstractNumId w:val="13"/>
  </w:num>
  <w:num w:numId="44">
    <w:abstractNumId w:val="8"/>
  </w:num>
  <w:num w:numId="45">
    <w:abstractNumId w:val="20"/>
  </w:num>
  <w:num w:numId="46">
    <w:abstractNumId w:val="4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A299B"/>
    <w:rsid w:val="000E120A"/>
    <w:rsid w:val="001030B8"/>
    <w:rsid w:val="00125FE2"/>
    <w:rsid w:val="0018041D"/>
    <w:rsid w:val="001F4056"/>
    <w:rsid w:val="00283C0E"/>
    <w:rsid w:val="002E76AB"/>
    <w:rsid w:val="0033357B"/>
    <w:rsid w:val="0036526B"/>
    <w:rsid w:val="00426EB7"/>
    <w:rsid w:val="0043426E"/>
    <w:rsid w:val="004673E0"/>
    <w:rsid w:val="004879CD"/>
    <w:rsid w:val="00563F64"/>
    <w:rsid w:val="0056529B"/>
    <w:rsid w:val="005E6EF7"/>
    <w:rsid w:val="00635E5E"/>
    <w:rsid w:val="006443B1"/>
    <w:rsid w:val="00685EEC"/>
    <w:rsid w:val="006D6A6C"/>
    <w:rsid w:val="007017BD"/>
    <w:rsid w:val="00722719"/>
    <w:rsid w:val="00723D20"/>
    <w:rsid w:val="0072406D"/>
    <w:rsid w:val="00797318"/>
    <w:rsid w:val="007C689E"/>
    <w:rsid w:val="00804215"/>
    <w:rsid w:val="008103DB"/>
    <w:rsid w:val="008973E7"/>
    <w:rsid w:val="00931579"/>
    <w:rsid w:val="0095107D"/>
    <w:rsid w:val="009710E2"/>
    <w:rsid w:val="00987729"/>
    <w:rsid w:val="009A1BBD"/>
    <w:rsid w:val="009A6F3A"/>
    <w:rsid w:val="009E0302"/>
    <w:rsid w:val="00A66C4C"/>
    <w:rsid w:val="00B0338F"/>
    <w:rsid w:val="00B77C5E"/>
    <w:rsid w:val="00BB45D6"/>
    <w:rsid w:val="00C057DF"/>
    <w:rsid w:val="00CF7B3A"/>
    <w:rsid w:val="00D20BD0"/>
    <w:rsid w:val="00D451E7"/>
    <w:rsid w:val="00D84B6A"/>
    <w:rsid w:val="00D97D7D"/>
    <w:rsid w:val="00E7177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hyperlink" Target="http://www.fenehli.com/" TargetMode="External"/><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1035</Words>
  <Characters>5904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9</cp:revision>
  <dcterms:created xsi:type="dcterms:W3CDTF">2016-02-14T16:03:00Z</dcterms:created>
  <dcterms:modified xsi:type="dcterms:W3CDTF">2016-03-05T20:25:00Z</dcterms:modified>
</cp:coreProperties>
</file>