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CE16DC" w:rsidP="00143075">
            <w:r>
              <w:t>31</w:t>
            </w:r>
            <w:r w:rsidR="00635E5E">
              <w:t>.Hafta (</w:t>
            </w:r>
            <w:r>
              <w:t>9</w:t>
            </w:r>
            <w:r w:rsidR="001E2BDD">
              <w:t xml:space="preserve"> </w:t>
            </w:r>
            <w:r>
              <w:t>– 13</w:t>
            </w:r>
            <w:r w:rsidR="007017BD">
              <w:t xml:space="preserve"> </w:t>
            </w:r>
            <w:r w:rsidR="00AD09A3">
              <w:t>Mayıs</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CE16DC" w:rsidP="00CE16DC">
            <w:r>
              <w:t>6</w:t>
            </w:r>
            <w:r w:rsidR="00074A07">
              <w:t xml:space="preserve">. Ünite: </w:t>
            </w:r>
            <w:r>
              <w:t>Elektrik Enerjisi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CE16DC">
            <w:r>
              <w:t>Ampullerin Bağlanma Şekilleri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338"/>
      </w:tblGrid>
      <w:tr w:rsidR="00143075"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CE16DC" w:rsidRPr="00CE16DC" w:rsidRDefault="00CE16DC" w:rsidP="00CE16DC">
            <w:r w:rsidRPr="00CE16DC">
              <w:t xml:space="preserve">7.6.1.1. Seri ve paralel bağlamanın nasıl olduğunu keşfeder, seri ve paralel bağlı ampullerden oluşan bir devre şeması çizer. </w:t>
            </w:r>
          </w:p>
          <w:p w:rsidR="00CE16DC" w:rsidRPr="00CE16DC" w:rsidRDefault="00CE16DC" w:rsidP="00CE16DC">
            <w:r w:rsidRPr="00CE16DC">
              <w:t>7.6.1.2. Ampullerin seri ve paralel bağlandığı durumlardaki parlaklık farklılıklarını devre üzerinde gözlemler ve sonucu yorumlar.</w:t>
            </w:r>
          </w:p>
          <w:p w:rsidR="00AD09A3" w:rsidRDefault="00CE16DC" w:rsidP="00CE16DC">
            <w:r w:rsidRPr="00CE16DC">
              <w:t>7.6.1.3. Elektrik enerjisi kaynaklarının elektrik devrelerine elektrik akımı sağladığını ve elektrik akımının bir çeşit enerji aktarımı olduğunu bilir.</w:t>
            </w:r>
          </w:p>
        </w:tc>
      </w:tr>
      <w:tr w:rsidR="00143075"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CF519F" w:rsidRDefault="00CE16DC" w:rsidP="00804215">
            <w:r>
              <w:t>Seri bağlama</w:t>
            </w:r>
          </w:p>
          <w:p w:rsidR="00CE16DC" w:rsidRDefault="00CE16DC" w:rsidP="00804215">
            <w:r>
              <w:t>Paralel bağlama</w:t>
            </w:r>
          </w:p>
          <w:p w:rsidR="00CE16DC" w:rsidRDefault="00CE16DC" w:rsidP="00804215">
            <w:r>
              <w:t>Elektrik akımı</w:t>
            </w:r>
          </w:p>
        </w:tc>
      </w:tr>
      <w:tr w:rsidR="00143075"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CE16DC" w:rsidP="00684ED5">
            <w:r>
              <w:t>Ampulleri Nasıl Bağlayalım?</w:t>
            </w:r>
            <w:r>
              <w:t xml:space="preserve"> </w:t>
            </w:r>
            <w:proofErr w:type="gramStart"/>
            <w:r w:rsidR="00143075">
              <w:t>etkinliği</w:t>
            </w:r>
            <w:proofErr w:type="gramEnd"/>
            <w:r w:rsidR="00143075">
              <w:t xml:space="preserve"> için;</w:t>
            </w:r>
          </w:p>
          <w:p w:rsidR="00143075" w:rsidRDefault="00CE16DC" w:rsidP="00684ED5">
            <w:r>
              <w:t>Ampul (3 adet, 2,5V)</w:t>
            </w:r>
          </w:p>
          <w:p w:rsidR="00CE16DC" w:rsidRDefault="00CE16DC" w:rsidP="00684ED5">
            <w:r>
              <w:t>Bağlantı Kabloları</w:t>
            </w:r>
          </w:p>
          <w:p w:rsidR="00CE16DC" w:rsidRDefault="00CE16DC" w:rsidP="00684ED5">
            <w:r>
              <w:t>Duy(3 adet)</w:t>
            </w:r>
          </w:p>
          <w:p w:rsidR="00CE16DC" w:rsidRDefault="00CE16DC" w:rsidP="00684ED5">
            <w:r>
              <w:t>Pil (1,5V)</w:t>
            </w:r>
          </w:p>
          <w:p w:rsidR="00CE16DC" w:rsidRDefault="00CE16DC" w:rsidP="00684ED5">
            <w:r>
              <w:t>Pil Yatağı</w:t>
            </w:r>
          </w:p>
          <w:p w:rsidR="00CE16DC" w:rsidRDefault="00CE16DC" w:rsidP="00684ED5"/>
          <w:p w:rsidR="00CE16DC" w:rsidRDefault="00CE16DC" w:rsidP="00684ED5">
            <w:r>
              <w:t>Hangi Devredeki Ampul Işık Verir?</w:t>
            </w:r>
            <w:r>
              <w:t xml:space="preserve"> </w:t>
            </w:r>
            <w:proofErr w:type="gramStart"/>
            <w:r>
              <w:t>etkinliği</w:t>
            </w:r>
            <w:proofErr w:type="gramEnd"/>
            <w:r>
              <w:t xml:space="preserve"> için;</w:t>
            </w:r>
          </w:p>
          <w:p w:rsidR="00CE16DC" w:rsidRDefault="00CE16DC" w:rsidP="00684ED5">
            <w:r>
              <w:t>Ampul</w:t>
            </w:r>
          </w:p>
          <w:p w:rsidR="00CE16DC" w:rsidRDefault="00CE16DC" w:rsidP="00684ED5">
            <w:r>
              <w:t>Pil</w:t>
            </w:r>
          </w:p>
          <w:p w:rsidR="00CE16DC" w:rsidRDefault="00CE16DC" w:rsidP="00684ED5">
            <w:r>
              <w:t>Anahtar</w:t>
            </w:r>
          </w:p>
          <w:p w:rsidR="00CE16DC" w:rsidRDefault="00CE16DC" w:rsidP="00684ED5">
            <w:r>
              <w:t>Duy</w:t>
            </w:r>
          </w:p>
          <w:p w:rsidR="00CE16DC" w:rsidRDefault="00CE16DC" w:rsidP="00684ED5">
            <w:r>
              <w:t>Bağlantı Kabloları</w:t>
            </w:r>
          </w:p>
        </w:tc>
      </w:tr>
      <w:tr w:rsidR="00143075"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43075" w:rsidTr="00CE16DC">
        <w:trPr>
          <w:trHeight w:val="46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AD09A3" w:rsidRDefault="00CE16DC" w:rsidP="00CE16DC">
            <w:r>
              <w:t>Ampulleri Nasıl Bağlayalım?</w:t>
            </w:r>
            <w:r w:rsidR="00CF519F">
              <w:t xml:space="preserve"> (D.K. Sayfa:1</w:t>
            </w:r>
            <w:r>
              <w:t>83</w:t>
            </w:r>
            <w:r w:rsidR="00CF519F">
              <w:t>)</w:t>
            </w:r>
          </w:p>
          <w:p w:rsidR="00CE16DC" w:rsidRDefault="00CE16DC" w:rsidP="00CE16DC">
            <w:r>
              <w:t xml:space="preserve">Hangi Devredeki Ampul Işık Verir? </w:t>
            </w:r>
            <w:r>
              <w:t>(D.K. Sayfa:1</w:t>
            </w:r>
            <w:r>
              <w:t>85</w:t>
            </w:r>
            <w:r>
              <w:t>)</w:t>
            </w:r>
          </w:p>
        </w:tc>
      </w:tr>
      <w:tr w:rsidR="00143075"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CE16DC" w:rsidRPr="00CE16DC" w:rsidRDefault="00CE16DC" w:rsidP="00CE16DC">
            <w:pPr>
              <w:rPr>
                <w:rFonts w:ascii="Tahoma" w:hAnsi="Tahoma" w:cs="Tahoma"/>
                <w:b/>
                <w:sz w:val="21"/>
                <w:szCs w:val="21"/>
              </w:rPr>
            </w:pPr>
            <w:r w:rsidRPr="00CE16DC">
              <w:rPr>
                <w:rFonts w:ascii="Tahoma" w:hAnsi="Tahoma" w:cs="Tahoma"/>
                <w:b/>
                <w:sz w:val="21"/>
                <w:szCs w:val="21"/>
              </w:rPr>
              <w:t>Seri ve Paralel Bağlama Nedir?</w:t>
            </w:r>
          </w:p>
          <w:p w:rsidR="00CE16DC" w:rsidRPr="00CE16DC" w:rsidRDefault="00CE16DC" w:rsidP="00CE16DC">
            <w:pPr>
              <w:rPr>
                <w:rFonts w:ascii="Tahoma" w:hAnsi="Tahoma" w:cs="Tahoma"/>
                <w:sz w:val="21"/>
                <w:szCs w:val="21"/>
              </w:rPr>
            </w:pPr>
            <w:r w:rsidRPr="00CE16DC">
              <w:rPr>
                <w:rFonts w:ascii="Tahoma" w:hAnsi="Tahoma" w:cs="Tahoma"/>
                <w:sz w:val="21"/>
                <w:szCs w:val="21"/>
              </w:rPr>
              <w:t xml:space="preserve">Basit bir elektrik devresinde pil, bağlantı kablosu ve ampul gibi devre elemanları kullanılır. Bu devre elemanları kullanım alanlarına göre faklı şekilde bir araya getirilerek farklı elektrik devreleri kurulabilir. Basit elektrik devrelerinde devre elemanlarının iki ucu vardır. Örneğin pil + ve – olmak üzere iki uca sahiptir. Ampuller elektrik devrelerinde iki farklı şekilde bağlanır. Bunlar seri bağlama ve paralel bağlamadır. </w:t>
            </w:r>
          </w:p>
          <w:p w:rsidR="00CE16DC" w:rsidRPr="00CE16DC" w:rsidRDefault="00CE16DC" w:rsidP="00CE16DC">
            <w:pPr>
              <w:rPr>
                <w:rFonts w:ascii="Tahoma" w:hAnsi="Tahoma" w:cs="Tahoma"/>
                <w:sz w:val="21"/>
                <w:szCs w:val="21"/>
              </w:rPr>
            </w:pPr>
            <w:r w:rsidRPr="00CE16DC">
              <w:rPr>
                <w:rFonts w:ascii="Tahoma" w:hAnsi="Tahoma" w:cs="Tahoma"/>
                <w:sz w:val="21"/>
                <w:szCs w:val="21"/>
              </w:rPr>
              <w:t xml:space="preserve">Devre elemanlarının tek bir kol üzerinde birinin + ucu diğerinin – ucuna değecek şekilde bağlanması ile oluşturulan bağlama şekline </w:t>
            </w:r>
            <w:r w:rsidRPr="00CE16DC">
              <w:rPr>
                <w:rFonts w:ascii="Tahoma" w:hAnsi="Tahoma" w:cs="Tahoma"/>
                <w:b/>
                <w:sz w:val="21"/>
                <w:szCs w:val="21"/>
              </w:rPr>
              <w:t>seri bağlama</w:t>
            </w:r>
            <w:r w:rsidRPr="00CE16DC">
              <w:rPr>
                <w:rFonts w:ascii="Tahoma" w:hAnsi="Tahoma" w:cs="Tahoma"/>
                <w:sz w:val="21"/>
                <w:szCs w:val="21"/>
              </w:rPr>
              <w:t xml:space="preserve"> denir</w:t>
            </w:r>
            <w:hyperlink r:id="rId6"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Ampullerde seri bağlama bir ampulün çıkış ucunun diğer ampulün giriş ucuna bağlanması ile oluşturulur. </w:t>
            </w:r>
          </w:p>
          <w:p w:rsidR="00CE16DC" w:rsidRPr="00CE16DC" w:rsidRDefault="00CE16DC" w:rsidP="00CE16DC">
            <w:pPr>
              <w:rPr>
                <w:rFonts w:ascii="Tahoma" w:hAnsi="Tahoma" w:cs="Tahoma"/>
                <w:sz w:val="21"/>
                <w:szCs w:val="21"/>
              </w:rPr>
            </w:pPr>
            <w:r w:rsidRPr="00CE16DC">
              <w:rPr>
                <w:rFonts w:ascii="Tahoma" w:hAnsi="Tahoma" w:cs="Tahoma"/>
                <w:sz w:val="21"/>
                <w:szCs w:val="21"/>
              </w:rPr>
              <w:lastRenderedPageBreak/>
              <w:drawing>
                <wp:inline distT="0" distB="0" distL="0" distR="0" wp14:anchorId="1BAA1EC6" wp14:editId="686B49D3">
                  <wp:extent cx="4497211" cy="1440000"/>
                  <wp:effectExtent l="0" t="0" r="0" b="825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Seri bağlı devrelerde;</w:t>
            </w:r>
          </w:p>
          <w:p w:rsidR="00CE16DC" w:rsidRPr="00CE16DC" w:rsidRDefault="00CE16DC" w:rsidP="00CE16DC">
            <w:pPr>
              <w:numPr>
                <w:ilvl w:val="0"/>
                <w:numId w:val="20"/>
              </w:numPr>
              <w:rPr>
                <w:rFonts w:ascii="Tahoma" w:hAnsi="Tahoma" w:cs="Tahoma"/>
                <w:sz w:val="21"/>
                <w:szCs w:val="21"/>
              </w:rPr>
            </w:pPr>
            <w:r w:rsidRPr="00CE16DC">
              <w:rPr>
                <w:rFonts w:ascii="Tahoma" w:hAnsi="Tahoma" w:cs="Tahoma"/>
                <w:sz w:val="21"/>
                <w:szCs w:val="21"/>
              </w:rPr>
              <w:t>Ampuller özdeş ise hepsi aynı parlaklıkta ışık verir</w:t>
            </w:r>
            <w:hyperlink r:id="rId8"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Çünkü seri bağlı devrelerde devre elemanları üzerinden geçen elektrik akımları eşittir.</w:t>
            </w:r>
          </w:p>
          <w:p w:rsidR="00CE16DC" w:rsidRPr="00CE16DC" w:rsidRDefault="00CE16DC" w:rsidP="00CE16DC">
            <w:pPr>
              <w:numPr>
                <w:ilvl w:val="0"/>
                <w:numId w:val="20"/>
              </w:numPr>
              <w:rPr>
                <w:rFonts w:ascii="Tahoma" w:hAnsi="Tahoma" w:cs="Tahoma"/>
                <w:sz w:val="21"/>
                <w:szCs w:val="21"/>
              </w:rPr>
            </w:pPr>
            <w:r w:rsidRPr="00CE16DC">
              <w:rPr>
                <w:rFonts w:ascii="Tahoma" w:hAnsi="Tahoma" w:cs="Tahoma"/>
                <w:sz w:val="21"/>
                <w:szCs w:val="21"/>
              </w:rPr>
              <w:t>Ampul say</w:t>
            </w:r>
            <w:r w:rsidRPr="00CE16DC">
              <w:rPr>
                <w:rFonts w:ascii="Tahoma" w:hAnsi="Tahoma" w:cs="Tahoma" w:hint="eastAsia"/>
                <w:sz w:val="21"/>
                <w:szCs w:val="21"/>
              </w:rPr>
              <w:t>ı</w:t>
            </w:r>
            <w:r w:rsidRPr="00CE16DC">
              <w:rPr>
                <w:rFonts w:ascii="Tahoma" w:hAnsi="Tahoma" w:cs="Tahoma"/>
                <w:sz w:val="21"/>
                <w:szCs w:val="21"/>
              </w:rPr>
              <w:t>s</w:t>
            </w:r>
            <w:r w:rsidRPr="00CE16DC">
              <w:rPr>
                <w:rFonts w:ascii="Tahoma" w:hAnsi="Tahoma" w:cs="Tahoma" w:hint="eastAsia"/>
                <w:sz w:val="21"/>
                <w:szCs w:val="21"/>
              </w:rPr>
              <w:t>ı</w:t>
            </w:r>
            <w:r w:rsidRPr="00CE16DC">
              <w:rPr>
                <w:rFonts w:ascii="Tahoma" w:hAnsi="Tahoma" w:cs="Tahoma"/>
                <w:sz w:val="21"/>
                <w:szCs w:val="21"/>
              </w:rPr>
              <w:t xml:space="preserve"> artt</w:t>
            </w:r>
            <w:r w:rsidRPr="00CE16DC">
              <w:rPr>
                <w:rFonts w:ascii="Tahoma" w:hAnsi="Tahoma" w:cs="Tahoma" w:hint="eastAsia"/>
                <w:sz w:val="21"/>
                <w:szCs w:val="21"/>
              </w:rPr>
              <w:t>ı</w:t>
            </w:r>
            <w:r w:rsidRPr="00CE16DC">
              <w:rPr>
                <w:rFonts w:ascii="Tahoma" w:hAnsi="Tahoma" w:cs="Tahoma"/>
                <w:sz w:val="21"/>
                <w:szCs w:val="21"/>
              </w:rPr>
              <w:t>kça devrede bulunan ampullerin parlakl</w:t>
            </w:r>
            <w:r w:rsidRPr="00CE16DC">
              <w:rPr>
                <w:rFonts w:ascii="Tahoma" w:hAnsi="Tahoma" w:cs="Tahoma" w:hint="eastAsia"/>
                <w:sz w:val="21"/>
                <w:szCs w:val="21"/>
              </w:rPr>
              <w:t>ı</w:t>
            </w:r>
            <w:r w:rsidRPr="00CE16DC">
              <w:rPr>
                <w:rFonts w:ascii="Tahoma" w:hAnsi="Tahoma" w:cs="Tahoma"/>
                <w:sz w:val="21"/>
                <w:szCs w:val="21"/>
              </w:rPr>
              <w:t>klar</w:t>
            </w:r>
            <w:r w:rsidRPr="00CE16DC">
              <w:rPr>
                <w:rFonts w:ascii="Tahoma" w:hAnsi="Tahoma" w:cs="Tahoma" w:hint="eastAsia"/>
                <w:sz w:val="21"/>
                <w:szCs w:val="21"/>
              </w:rPr>
              <w:t>ı</w:t>
            </w:r>
            <w:r w:rsidRPr="00CE16DC">
              <w:rPr>
                <w:rFonts w:ascii="Tahoma" w:hAnsi="Tahoma" w:cs="Tahoma"/>
                <w:sz w:val="21"/>
                <w:szCs w:val="21"/>
              </w:rPr>
              <w:t xml:space="preserve"> azalır.</w:t>
            </w:r>
          </w:p>
          <w:p w:rsidR="00CE16DC" w:rsidRPr="00CE16DC" w:rsidRDefault="00CE16DC" w:rsidP="00CE16DC">
            <w:pPr>
              <w:numPr>
                <w:ilvl w:val="0"/>
                <w:numId w:val="20"/>
              </w:numPr>
              <w:rPr>
                <w:rFonts w:ascii="Tahoma" w:hAnsi="Tahoma" w:cs="Tahoma"/>
                <w:sz w:val="21"/>
                <w:szCs w:val="21"/>
              </w:rPr>
            </w:pPr>
            <w:r w:rsidRPr="00CE16DC">
              <w:rPr>
                <w:rFonts w:ascii="Tahoma" w:hAnsi="Tahoma" w:cs="Tahoma"/>
                <w:sz w:val="21"/>
                <w:szCs w:val="21"/>
              </w:rPr>
              <w:t>Seri bağlı ampullerden herhangi biri devreden çıkarıldığında ampuller söner. Aynı şekilde devrelerdeki ampullerden biri patladığında diğer ampuller de söner</w:t>
            </w:r>
            <w:hyperlink r:id="rId9" w:history="1">
              <w:r w:rsidRPr="00CE16DC">
                <w:rPr>
                  <w:rStyle w:val="Kpr"/>
                  <w:rFonts w:ascii="Tahoma" w:hAnsi="Tahoma" w:cs="Tahoma"/>
                  <w:color w:val="auto"/>
                  <w:sz w:val="21"/>
                  <w:szCs w:val="21"/>
                  <w:u w:val="none"/>
                </w:rPr>
                <w:t>.</w:t>
              </w:r>
            </w:hyperlink>
          </w:p>
          <w:p w:rsidR="00CE16DC" w:rsidRPr="00CE16DC" w:rsidRDefault="00CE16DC" w:rsidP="00CE16DC">
            <w:pPr>
              <w:rPr>
                <w:rFonts w:ascii="Tahoma" w:hAnsi="Tahoma" w:cs="Tahoma"/>
                <w:sz w:val="21"/>
                <w:szCs w:val="21"/>
              </w:rPr>
            </w:pPr>
            <w:r w:rsidRPr="00CE16DC">
              <w:rPr>
                <w:rFonts w:ascii="Tahoma" w:hAnsi="Tahoma" w:cs="Tahoma"/>
                <w:sz w:val="21"/>
                <w:szCs w:val="21"/>
              </w:rPr>
              <w:t>Basit elektrik devrelerinde ampul gibi pillerde seri olarak bağlanabilir. Burada dikkat edilmesi gereken nokta bir pilin “+” ucunun diğer pilin “-“ ucuna değecek şekilde bağlanması gerektiğidir. Aksi takdirde ampul ışık vermeyecektir.</w:t>
            </w:r>
          </w:p>
          <w:p w:rsidR="00CE16DC" w:rsidRPr="00CE16DC" w:rsidRDefault="00CE16DC" w:rsidP="00CE16DC">
            <w:pPr>
              <w:rPr>
                <w:rFonts w:ascii="Tahoma" w:hAnsi="Tahoma" w:cs="Tahoma"/>
                <w:sz w:val="21"/>
                <w:szCs w:val="21"/>
              </w:rPr>
            </w:pPr>
            <w:r w:rsidRPr="00CE16DC">
              <w:rPr>
                <w:rFonts w:ascii="Tahoma" w:hAnsi="Tahoma" w:cs="Tahoma"/>
                <w:sz w:val="21"/>
                <w:szCs w:val="21"/>
              </w:rPr>
              <w:drawing>
                <wp:inline distT="0" distB="0" distL="0" distR="0" wp14:anchorId="76FC10D2" wp14:editId="3F1E3B14">
                  <wp:extent cx="4497211" cy="1440000"/>
                  <wp:effectExtent l="0" t="0" r="0" b="8255"/>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 xml:space="preserve">Seri bağlı devrelerde devredeki ampul sayısı artıkça devrenin toplam direnci artar. Devredeki toplam dirence eşdeğer direnç denir. Eşdeğer direnç </w:t>
            </w:r>
            <w:proofErr w:type="spellStart"/>
            <w:r w:rsidRPr="00CE16DC">
              <w:rPr>
                <w:rFonts w:ascii="Tahoma" w:hAnsi="Tahoma" w:cs="Tahoma"/>
                <w:b/>
                <w:sz w:val="21"/>
                <w:szCs w:val="21"/>
              </w:rPr>
              <w:t>R</w:t>
            </w:r>
            <w:r w:rsidRPr="00CE16DC">
              <w:rPr>
                <w:rFonts w:ascii="Tahoma" w:hAnsi="Tahoma" w:cs="Tahoma"/>
                <w:b/>
                <w:sz w:val="21"/>
                <w:szCs w:val="21"/>
                <w:vertAlign w:val="subscript"/>
              </w:rPr>
              <w:t>Eş</w:t>
            </w:r>
            <w:proofErr w:type="spellEnd"/>
            <w:r w:rsidRPr="00CE16DC">
              <w:rPr>
                <w:rFonts w:ascii="Tahoma" w:hAnsi="Tahoma" w:cs="Tahoma"/>
                <w:b/>
                <w:sz w:val="21"/>
                <w:szCs w:val="21"/>
              </w:rPr>
              <w:t xml:space="preserve"> </w:t>
            </w:r>
            <w:r w:rsidRPr="00CE16DC">
              <w:rPr>
                <w:rFonts w:ascii="Tahoma" w:hAnsi="Tahoma" w:cs="Tahoma"/>
                <w:sz w:val="21"/>
                <w:szCs w:val="21"/>
              </w:rPr>
              <w:t>şeklinde gösterilir</w:t>
            </w:r>
            <w:hyperlink r:id="rId11"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Seri bağlı devrelerde eşdeğer direnç</w:t>
            </w:r>
            <w:r w:rsidRPr="00CE16DC">
              <w:rPr>
                <w:rFonts w:ascii="Tahoma" w:hAnsi="Tahoma" w:cs="Tahoma"/>
                <w:b/>
                <w:sz w:val="21"/>
                <w:szCs w:val="21"/>
              </w:rPr>
              <w:t xml:space="preserve"> </w:t>
            </w:r>
            <w:r w:rsidRPr="00CE16DC">
              <w:rPr>
                <w:rFonts w:ascii="Tahoma" w:hAnsi="Tahoma" w:cs="Tahoma"/>
                <w:sz w:val="21"/>
                <w:szCs w:val="21"/>
              </w:rPr>
              <w:t>devredeki tüm dirençlerin (ampul dirençleri) toplamına eşittir ve aşağıdaki şekilde hesaplanır</w:t>
            </w:r>
            <w:hyperlink r:id="rId12" w:history="1">
              <w:r w:rsidRPr="00CE16DC">
                <w:rPr>
                  <w:rStyle w:val="Kpr"/>
                  <w:rFonts w:ascii="Tahoma" w:hAnsi="Tahoma" w:cs="Tahoma"/>
                  <w:color w:val="auto"/>
                  <w:sz w:val="21"/>
                  <w:szCs w:val="21"/>
                  <w:u w:val="none"/>
                </w:rPr>
                <w:t>.</w:t>
              </w:r>
            </w:hyperlink>
          </w:p>
          <w:p w:rsidR="00CE16DC" w:rsidRPr="00CE16DC" w:rsidRDefault="00CE16DC" w:rsidP="00CE16DC">
            <w:pPr>
              <w:rPr>
                <w:rFonts w:ascii="Tahoma" w:hAnsi="Tahoma" w:cs="Tahoma"/>
                <w:sz w:val="21"/>
                <w:szCs w:val="21"/>
              </w:rPr>
            </w:pPr>
            <w:r w:rsidRPr="00CE16DC">
              <w:rPr>
                <w:rFonts w:ascii="Tahoma" w:hAnsi="Tahoma" w:cs="Tahoma"/>
                <w:b/>
                <w:sz w:val="21"/>
                <w:szCs w:val="21"/>
              </w:rPr>
              <w:drawing>
                <wp:inline distT="0" distB="0" distL="0" distR="0" wp14:anchorId="05CD5299" wp14:editId="30E67360">
                  <wp:extent cx="3545370" cy="1440000"/>
                  <wp:effectExtent l="0" t="0" r="0" b="8255"/>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5370"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Seri bağlı devrelerde ampuller üzerinden geçen akım değerleri birbirine ve ana koldaki akıma eşittir. Bu nedenle özdeş ampullerle kurulan seri bağlı devrelerde ampul parlaklığı eşittir.</w:t>
            </w:r>
          </w:p>
          <w:p w:rsidR="00CE16DC" w:rsidRPr="00CE16DC" w:rsidRDefault="00CE16DC" w:rsidP="00CE16DC">
            <w:pPr>
              <w:rPr>
                <w:rFonts w:ascii="Tahoma" w:hAnsi="Tahoma" w:cs="Tahoma"/>
                <w:sz w:val="21"/>
                <w:szCs w:val="21"/>
              </w:rPr>
            </w:pPr>
            <w:r w:rsidRPr="00CE16DC">
              <w:rPr>
                <w:rFonts w:ascii="Tahoma" w:hAnsi="Tahoma" w:cs="Tahoma"/>
                <w:sz w:val="21"/>
                <w:szCs w:val="21"/>
              </w:rPr>
              <w:drawing>
                <wp:inline distT="0" distB="0" distL="0" distR="0" wp14:anchorId="13E501C5" wp14:editId="53819884">
                  <wp:extent cx="3320713" cy="1440000"/>
                  <wp:effectExtent l="0" t="0" r="0" b="825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0713"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Seri bağlı devrelerde toplam gerilim (pilin gerilimi), ampullerin gerilimlerinin toplamına eşittir. Diğer bir ifadeyle seri bağlı devrelerde pilin gerilimi ampuller tarafından paylaşılır</w:t>
            </w:r>
            <w:hyperlink r:id="rId15"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Bu paylaşım seri bağlı devrelerde dirençler üzerinden geçen akımlar eşit olduğundan, ampullerin direncine bağlıdır. Buna göre direnci büyük olan ampuldeki gerilim daha fazladır. Yani direnci büyük olan ampul daha fazla enerji harcayacaktır</w:t>
            </w:r>
            <w:hyperlink r:id="rId16" w:history="1">
              <w:r w:rsidRPr="00CE16DC">
                <w:rPr>
                  <w:rStyle w:val="Kpr"/>
                  <w:rFonts w:ascii="Tahoma" w:hAnsi="Tahoma" w:cs="Tahoma"/>
                  <w:color w:val="auto"/>
                  <w:sz w:val="21"/>
                  <w:szCs w:val="21"/>
                  <w:u w:val="none"/>
                </w:rPr>
                <w:t>.</w:t>
              </w:r>
            </w:hyperlink>
          </w:p>
          <w:p w:rsidR="00CE16DC" w:rsidRPr="00CE16DC" w:rsidRDefault="00CE16DC" w:rsidP="00CE16DC">
            <w:pPr>
              <w:rPr>
                <w:rFonts w:ascii="Tahoma" w:hAnsi="Tahoma" w:cs="Tahoma"/>
                <w:sz w:val="21"/>
                <w:szCs w:val="21"/>
              </w:rPr>
            </w:pPr>
            <w:r w:rsidRPr="00CE16DC">
              <w:rPr>
                <w:rFonts w:ascii="Tahoma" w:hAnsi="Tahoma" w:cs="Tahoma"/>
                <w:sz w:val="21"/>
                <w:szCs w:val="21"/>
              </w:rPr>
              <w:lastRenderedPageBreak/>
              <w:drawing>
                <wp:inline distT="0" distB="0" distL="0" distR="0" wp14:anchorId="2DC4D167" wp14:editId="72A220E6">
                  <wp:extent cx="3434048" cy="1440000"/>
                  <wp:effectExtent l="0" t="0" r="0" b="825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4048"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 xml:space="preserve">Ampullerin birer uçları ortak bir noktada, diğer uçları da bir noktada birleştirilerek oluşturulan bağlama şekline </w:t>
            </w:r>
            <w:r w:rsidRPr="00CE16DC">
              <w:rPr>
                <w:rFonts w:ascii="Tahoma" w:hAnsi="Tahoma" w:cs="Tahoma"/>
                <w:b/>
                <w:sz w:val="21"/>
                <w:szCs w:val="21"/>
              </w:rPr>
              <w:t>paralel bağlama</w:t>
            </w:r>
            <w:r w:rsidRPr="00CE16DC">
              <w:rPr>
                <w:rFonts w:ascii="Tahoma" w:hAnsi="Tahoma" w:cs="Tahoma"/>
                <w:sz w:val="21"/>
                <w:szCs w:val="21"/>
              </w:rPr>
              <w:t xml:space="preserve"> denir. Paralel bağlı devrelerde elektrik akımı kollara ayrılır</w:t>
            </w:r>
            <w:hyperlink r:id="rId18"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Eğer ampuller özdeş ise elektrik akımı paralel bağlı ampullere eşit elektrik akımı gidecek şekilde ayrılır. </w:t>
            </w:r>
          </w:p>
          <w:p w:rsidR="00CE16DC" w:rsidRPr="00CE16DC" w:rsidRDefault="00CE16DC" w:rsidP="00CE16DC">
            <w:pPr>
              <w:rPr>
                <w:rFonts w:ascii="Tahoma" w:hAnsi="Tahoma" w:cs="Tahoma"/>
                <w:sz w:val="21"/>
                <w:szCs w:val="21"/>
              </w:rPr>
            </w:pPr>
          </w:p>
          <w:p w:rsidR="00CE16DC" w:rsidRPr="00CE16DC" w:rsidRDefault="00CE16DC" w:rsidP="00CE16DC">
            <w:pPr>
              <w:rPr>
                <w:rFonts w:ascii="Tahoma" w:hAnsi="Tahoma" w:cs="Tahoma"/>
                <w:sz w:val="21"/>
                <w:szCs w:val="21"/>
              </w:rPr>
            </w:pPr>
            <w:r w:rsidRPr="00CE16DC">
              <w:rPr>
                <w:rFonts w:ascii="Tahoma" w:hAnsi="Tahoma" w:cs="Tahoma"/>
                <w:sz w:val="21"/>
                <w:szCs w:val="21"/>
              </w:rPr>
              <w:t>Paralel bağlı devrelerde;</w:t>
            </w:r>
          </w:p>
          <w:p w:rsidR="00CE16DC" w:rsidRPr="00CE16DC" w:rsidRDefault="00CE16DC" w:rsidP="00CE16DC">
            <w:pPr>
              <w:numPr>
                <w:ilvl w:val="0"/>
                <w:numId w:val="21"/>
              </w:numPr>
              <w:rPr>
                <w:rFonts w:ascii="Tahoma" w:hAnsi="Tahoma" w:cs="Tahoma"/>
                <w:sz w:val="21"/>
                <w:szCs w:val="21"/>
              </w:rPr>
            </w:pPr>
            <w:r w:rsidRPr="00CE16DC">
              <w:rPr>
                <w:rFonts w:ascii="Tahoma" w:hAnsi="Tahoma" w:cs="Tahoma"/>
                <w:sz w:val="21"/>
                <w:szCs w:val="21"/>
              </w:rPr>
              <w:t>Ampuller özdeş ise hepsi aynı parlaklıkta yanar. Aksi takdirde direnci az olan daha parlak yanar</w:t>
            </w:r>
            <w:hyperlink r:id="rId19" w:history="1">
              <w:r w:rsidRPr="00CE16DC">
                <w:rPr>
                  <w:rStyle w:val="Kpr"/>
                  <w:rFonts w:ascii="Tahoma" w:hAnsi="Tahoma" w:cs="Tahoma"/>
                  <w:color w:val="auto"/>
                  <w:sz w:val="21"/>
                  <w:szCs w:val="21"/>
                  <w:u w:val="none"/>
                </w:rPr>
                <w:t>.</w:t>
              </w:r>
            </w:hyperlink>
          </w:p>
          <w:p w:rsidR="00CE16DC" w:rsidRPr="00CE16DC" w:rsidRDefault="00CE16DC" w:rsidP="00CE16DC">
            <w:pPr>
              <w:numPr>
                <w:ilvl w:val="0"/>
                <w:numId w:val="21"/>
              </w:numPr>
              <w:rPr>
                <w:rFonts w:ascii="Tahoma" w:hAnsi="Tahoma" w:cs="Tahoma"/>
                <w:sz w:val="21"/>
                <w:szCs w:val="21"/>
              </w:rPr>
            </w:pPr>
            <w:r w:rsidRPr="00CE16DC">
              <w:rPr>
                <w:rFonts w:ascii="Tahoma" w:hAnsi="Tahoma" w:cs="Tahoma"/>
                <w:sz w:val="21"/>
                <w:szCs w:val="21"/>
              </w:rPr>
              <w:t>Devrelerdeki ampullerden biri çıkarılırsa (ya da patlarsa) diğer ampuller ışık vermeye devam eder</w:t>
            </w:r>
            <w:hyperlink r:id="rId20" w:history="1">
              <w:r w:rsidRPr="00CE16DC">
                <w:rPr>
                  <w:rStyle w:val="Kpr"/>
                  <w:rFonts w:ascii="Tahoma" w:hAnsi="Tahoma" w:cs="Tahoma"/>
                  <w:color w:val="auto"/>
                  <w:sz w:val="21"/>
                  <w:szCs w:val="21"/>
                  <w:u w:val="none"/>
                </w:rPr>
                <w:t>.</w:t>
              </w:r>
            </w:hyperlink>
          </w:p>
          <w:p w:rsidR="00CE16DC" w:rsidRPr="00CE16DC" w:rsidRDefault="00CE16DC" w:rsidP="00CE16DC">
            <w:pPr>
              <w:numPr>
                <w:ilvl w:val="0"/>
                <w:numId w:val="21"/>
              </w:numPr>
              <w:rPr>
                <w:rFonts w:ascii="Tahoma" w:hAnsi="Tahoma" w:cs="Tahoma"/>
                <w:sz w:val="21"/>
                <w:szCs w:val="21"/>
              </w:rPr>
            </w:pPr>
            <w:r w:rsidRPr="00CE16DC">
              <w:rPr>
                <w:rFonts w:ascii="Tahoma" w:hAnsi="Tahoma" w:cs="Tahoma"/>
                <w:sz w:val="21"/>
                <w:szCs w:val="21"/>
              </w:rPr>
              <w:t>Toplam(Eşdeğer) direnç azaldığı için seri bağlı devreye göre ampul parlaklığı daha fazladır.</w:t>
            </w:r>
          </w:p>
          <w:p w:rsidR="00CE16DC" w:rsidRPr="00CE16DC" w:rsidRDefault="00CE16DC" w:rsidP="00CE16DC">
            <w:pPr>
              <w:rPr>
                <w:rFonts w:ascii="Tahoma" w:hAnsi="Tahoma" w:cs="Tahoma"/>
                <w:sz w:val="21"/>
                <w:szCs w:val="21"/>
              </w:rPr>
            </w:pPr>
          </w:p>
          <w:p w:rsidR="00CE16DC" w:rsidRPr="00CE16DC" w:rsidRDefault="00CE16DC" w:rsidP="00CE16DC">
            <w:pPr>
              <w:rPr>
                <w:rFonts w:ascii="Tahoma" w:hAnsi="Tahoma" w:cs="Tahoma"/>
                <w:sz w:val="21"/>
                <w:szCs w:val="21"/>
              </w:rPr>
            </w:pPr>
            <w:r w:rsidRPr="00CE16DC">
              <w:rPr>
                <w:rFonts w:ascii="Tahoma" w:hAnsi="Tahoma" w:cs="Tahoma"/>
                <w:sz w:val="21"/>
                <w:szCs w:val="21"/>
              </w:rPr>
              <w:drawing>
                <wp:inline distT="0" distB="0" distL="0" distR="0" wp14:anchorId="50D51881" wp14:editId="1A19FDEF">
                  <wp:extent cx="4497211" cy="1440000"/>
                  <wp:effectExtent l="0" t="0" r="0" b="825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7211"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Basit elektrik devrelerinde ampul gibi pillerde paralel olarak bağlanabilir</w:t>
            </w:r>
            <w:hyperlink r:id="rId22"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Burada dikkat edilmesi gereken nokta pillerin “+” uçlarının ve “-“ uçlarının aynı kutupta olacak şekilde bağlanması gerektiğidir.</w:t>
            </w:r>
          </w:p>
          <w:p w:rsidR="00CE16DC" w:rsidRPr="00CE16DC" w:rsidRDefault="00CE16DC" w:rsidP="00CE16DC">
            <w:pPr>
              <w:rPr>
                <w:rFonts w:ascii="Tahoma" w:hAnsi="Tahoma" w:cs="Tahoma"/>
                <w:sz w:val="21"/>
                <w:szCs w:val="21"/>
              </w:rPr>
            </w:pPr>
            <w:r w:rsidRPr="00CE16DC">
              <w:rPr>
                <w:rFonts w:ascii="Tahoma" w:hAnsi="Tahoma" w:cs="Tahoma"/>
                <w:sz w:val="21"/>
                <w:szCs w:val="21"/>
              </w:rPr>
              <w:drawing>
                <wp:inline distT="0" distB="0" distL="0" distR="0" wp14:anchorId="722F70F8" wp14:editId="210DCE4F">
                  <wp:extent cx="1831745" cy="1440000"/>
                  <wp:effectExtent l="0" t="0" r="0" b="825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1745"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Paralel bağlı devrelerde devredeki ampul sayısı artıkça devrenin toplam azalır</w:t>
            </w:r>
            <w:hyperlink r:id="rId24"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Devredeki toplam dirence eşdeğer direnç denir. Eşdeğer direnç </w:t>
            </w:r>
            <w:proofErr w:type="spellStart"/>
            <w:r w:rsidRPr="00CE16DC">
              <w:rPr>
                <w:rFonts w:ascii="Tahoma" w:hAnsi="Tahoma" w:cs="Tahoma"/>
                <w:b/>
                <w:sz w:val="21"/>
                <w:szCs w:val="21"/>
              </w:rPr>
              <w:t>R</w:t>
            </w:r>
            <w:r w:rsidRPr="00CE16DC">
              <w:rPr>
                <w:rFonts w:ascii="Tahoma" w:hAnsi="Tahoma" w:cs="Tahoma"/>
                <w:b/>
                <w:sz w:val="21"/>
                <w:szCs w:val="21"/>
                <w:vertAlign w:val="subscript"/>
              </w:rPr>
              <w:t>Eş</w:t>
            </w:r>
            <w:proofErr w:type="spellEnd"/>
            <w:r w:rsidRPr="00CE16DC">
              <w:rPr>
                <w:rFonts w:ascii="Tahoma" w:hAnsi="Tahoma" w:cs="Tahoma"/>
                <w:b/>
                <w:sz w:val="21"/>
                <w:szCs w:val="21"/>
              </w:rPr>
              <w:t xml:space="preserve"> </w:t>
            </w:r>
            <w:r w:rsidRPr="00CE16DC">
              <w:rPr>
                <w:rFonts w:ascii="Tahoma" w:hAnsi="Tahoma" w:cs="Tahoma"/>
                <w:sz w:val="21"/>
                <w:szCs w:val="21"/>
              </w:rPr>
              <w:t>şeklinde gösterilir. Paralel bağlı devrelerde eşdeğer direnç</w:t>
            </w:r>
            <w:r w:rsidRPr="00CE16DC">
              <w:rPr>
                <w:rFonts w:ascii="Tahoma" w:hAnsi="Tahoma" w:cs="Tahoma"/>
                <w:b/>
                <w:sz w:val="21"/>
                <w:szCs w:val="21"/>
              </w:rPr>
              <w:t xml:space="preserve"> </w:t>
            </w:r>
            <w:r w:rsidRPr="00CE16DC">
              <w:rPr>
                <w:rFonts w:ascii="Tahoma" w:hAnsi="Tahoma" w:cs="Tahoma"/>
                <w:sz w:val="21"/>
                <w:szCs w:val="21"/>
              </w:rPr>
              <w:t>aşağıdaki şekilde hesaplanır.</w:t>
            </w:r>
          </w:p>
          <w:p w:rsidR="00CE16DC" w:rsidRPr="00CE16DC" w:rsidRDefault="00CE16DC" w:rsidP="00CE16DC">
            <w:pPr>
              <w:rPr>
                <w:rFonts w:ascii="Tahoma" w:hAnsi="Tahoma" w:cs="Tahoma"/>
                <w:sz w:val="21"/>
                <w:szCs w:val="21"/>
              </w:rPr>
            </w:pPr>
            <w:r w:rsidRPr="00CE16DC">
              <w:rPr>
                <w:rFonts w:ascii="Tahoma" w:hAnsi="Tahoma" w:cs="Tahoma"/>
                <w:sz w:val="21"/>
                <w:szCs w:val="21"/>
              </w:rPr>
              <w:drawing>
                <wp:inline distT="0" distB="0" distL="0" distR="0" wp14:anchorId="29B07C0D" wp14:editId="7293BFE8">
                  <wp:extent cx="2880000" cy="1440000"/>
                  <wp:effectExtent l="0" t="0" r="0" b="8255"/>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80000" cy="1440000"/>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Paralel bağlı devrelerde ampuller üzerinden geçen akım değerleri ampullerin direncine bağlı olarak değişir. Buna göre direnci büyük olan ampulden az, direnci küçük olan ampulden fazla akım geçer. Ampuller üzerinden geçen akım değerlerinin toplamı da ana koldaki akım değerini verir</w:t>
            </w:r>
            <w:hyperlink r:id="rId26" w:history="1">
              <w:r w:rsidRPr="00CE16DC">
                <w:rPr>
                  <w:rStyle w:val="Kpr"/>
                  <w:rFonts w:ascii="Tahoma" w:hAnsi="Tahoma" w:cs="Tahoma"/>
                  <w:color w:val="auto"/>
                  <w:sz w:val="21"/>
                  <w:szCs w:val="21"/>
                  <w:u w:val="none"/>
                </w:rPr>
                <w:t>.</w:t>
              </w:r>
            </w:hyperlink>
            <w:r w:rsidRPr="00CE16DC">
              <w:rPr>
                <w:rFonts w:ascii="Tahoma" w:hAnsi="Tahoma" w:cs="Tahoma"/>
                <w:sz w:val="21"/>
                <w:szCs w:val="21"/>
              </w:rPr>
              <w:t xml:space="preserve"> Başka bir deyişle paralel bağlı devrelerde ana koldaki akım, ampullere dirençleri ile ters </w:t>
            </w:r>
            <w:r w:rsidRPr="00CE16DC">
              <w:rPr>
                <w:rFonts w:ascii="Tahoma" w:hAnsi="Tahoma" w:cs="Tahoma"/>
                <w:sz w:val="21"/>
                <w:szCs w:val="21"/>
              </w:rPr>
              <w:lastRenderedPageBreak/>
              <w:t>orantılı olarak dağılır.</w:t>
            </w:r>
          </w:p>
          <w:p w:rsidR="00CE16DC" w:rsidRPr="00CE16DC" w:rsidRDefault="00CE16DC" w:rsidP="00CE16DC">
            <w:pPr>
              <w:rPr>
                <w:rFonts w:ascii="Tahoma" w:hAnsi="Tahoma" w:cs="Tahoma"/>
                <w:sz w:val="21"/>
                <w:szCs w:val="21"/>
              </w:rPr>
            </w:pPr>
            <w:r w:rsidRPr="00CE16DC">
              <w:rPr>
                <w:rFonts w:ascii="Tahoma" w:hAnsi="Tahoma" w:cs="Tahoma"/>
                <w:sz w:val="21"/>
                <w:szCs w:val="21"/>
              </w:rPr>
              <w:drawing>
                <wp:inline distT="0" distB="0" distL="0" distR="0" wp14:anchorId="29362889" wp14:editId="1DBDCFFC">
                  <wp:extent cx="2266122" cy="1073426"/>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69898" cy="1075215"/>
                          </a:xfrm>
                          <a:prstGeom prst="rect">
                            <a:avLst/>
                          </a:prstGeom>
                          <a:noFill/>
                          <a:ln>
                            <a:noFill/>
                          </a:ln>
                        </pic:spPr>
                      </pic:pic>
                    </a:graphicData>
                  </a:graphic>
                </wp:inline>
              </w:drawing>
            </w:r>
          </w:p>
          <w:p w:rsidR="00CE16DC" w:rsidRPr="00CE16DC" w:rsidRDefault="00CE16DC" w:rsidP="00CE16DC">
            <w:pPr>
              <w:rPr>
                <w:rFonts w:ascii="Tahoma" w:hAnsi="Tahoma" w:cs="Tahoma"/>
                <w:sz w:val="21"/>
                <w:szCs w:val="21"/>
              </w:rPr>
            </w:pPr>
            <w:r w:rsidRPr="00CE16DC">
              <w:rPr>
                <w:rFonts w:ascii="Tahoma" w:hAnsi="Tahoma" w:cs="Tahoma"/>
                <w:sz w:val="21"/>
                <w:szCs w:val="21"/>
              </w:rPr>
              <w:t>Paralel bağlı devrelerde ampuller üzerinden geçen akım değeri ampulün direnci ile ters orantılı olduğundan ampullerin gerilimleri birbirine ve devredeki pillerin gerilimine eşittir</w:t>
            </w:r>
            <w:hyperlink r:id="rId28" w:history="1">
              <w:r w:rsidRPr="00CE16DC">
                <w:rPr>
                  <w:rStyle w:val="Kpr"/>
                  <w:rFonts w:ascii="Tahoma" w:hAnsi="Tahoma" w:cs="Tahoma"/>
                  <w:color w:val="auto"/>
                  <w:sz w:val="21"/>
                  <w:szCs w:val="21"/>
                  <w:u w:val="none"/>
                </w:rPr>
                <w:t>.</w:t>
              </w:r>
            </w:hyperlink>
          </w:p>
          <w:p w:rsidR="00CE16DC" w:rsidRDefault="00CE16DC" w:rsidP="00CE16DC">
            <w:pPr>
              <w:rPr>
                <w:rFonts w:ascii="Tahoma" w:hAnsi="Tahoma" w:cs="Tahoma"/>
                <w:color w:val="050505"/>
                <w:sz w:val="21"/>
                <w:szCs w:val="21"/>
              </w:rPr>
            </w:pPr>
            <w:r w:rsidRPr="00CE16DC">
              <w:rPr>
                <w:rFonts w:ascii="Tahoma" w:hAnsi="Tahoma" w:cs="Tahoma"/>
                <w:color w:val="050505"/>
                <w:sz w:val="21"/>
                <w:szCs w:val="21"/>
              </w:rPr>
              <w:drawing>
                <wp:inline distT="0" distB="0" distL="0" distR="0" wp14:anchorId="6ACAB500" wp14:editId="7D8EB5A9">
                  <wp:extent cx="2258171" cy="1176793"/>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60526" cy="1178020"/>
                          </a:xfrm>
                          <a:prstGeom prst="rect">
                            <a:avLst/>
                          </a:prstGeom>
                          <a:noFill/>
                          <a:ln>
                            <a:noFill/>
                          </a:ln>
                        </pic:spPr>
                      </pic:pic>
                    </a:graphicData>
                  </a:graphic>
                </wp:inline>
              </w:drawing>
            </w:r>
          </w:p>
          <w:p w:rsidR="00CE16DC" w:rsidRPr="00CE16DC" w:rsidRDefault="00CE16DC" w:rsidP="00CE16DC">
            <w:pPr>
              <w:rPr>
                <w:b/>
              </w:rPr>
            </w:pPr>
            <w:r w:rsidRPr="00CE16DC">
              <w:rPr>
                <w:b/>
              </w:rPr>
              <w:t>Elektrik Akımı Nedir?</w:t>
            </w:r>
          </w:p>
          <w:p w:rsidR="00CE16DC" w:rsidRPr="00CE16DC" w:rsidRDefault="00CE16DC" w:rsidP="00CE16DC">
            <w:r w:rsidRPr="00CE16DC">
              <w:t>Pil(üreteç), bağlantı kablosu ve ampulden oluşan basit elektrik devresini pompa, vana, kalın boru ve ince borulardan oluşan bir su tesisatına benzetebiliriz</w:t>
            </w:r>
            <w:hyperlink r:id="rId30" w:history="1">
              <w:r w:rsidRPr="00CE16DC">
                <w:rPr>
                  <w:rStyle w:val="Kpr"/>
                  <w:color w:val="auto"/>
                  <w:u w:val="none"/>
                </w:rPr>
                <w:t>.</w:t>
              </w:r>
            </w:hyperlink>
            <w:r w:rsidRPr="00CE16DC">
              <w:t xml:space="preserve"> Su tesisatlarında vana açıldığında su, ince ve kalın borular içerisinden akmaya başlar. Ancak su kalın borulardan kolayca geçerken ince borulardan geçmekte zorlanır. Pompaya tekrar gelen su pompa tarafından itilerek borular içerisindeki hareketine devam eder</w:t>
            </w:r>
            <w:hyperlink r:id="rId31" w:history="1">
              <w:r w:rsidRPr="00CE16DC">
                <w:rPr>
                  <w:rStyle w:val="Kpr"/>
                  <w:color w:val="auto"/>
                  <w:u w:val="none"/>
                </w:rPr>
                <w:t>.</w:t>
              </w:r>
            </w:hyperlink>
            <w:r w:rsidRPr="00CE16DC">
              <w:t xml:space="preserve"> Elektrik devresinde de buna benzer bir durum vardır. Su tesisatındaki suyu elektrik devresindeki negatif yüklere, pompa pile(üreteç), vana anahtara, su boruları da elektrik kablosuna benzetilebilir</w:t>
            </w:r>
            <w:hyperlink r:id="rId32" w:history="1">
              <w:r w:rsidRPr="00CE16DC">
                <w:rPr>
                  <w:rStyle w:val="Kpr"/>
                  <w:color w:val="auto"/>
                  <w:u w:val="none"/>
                </w:rPr>
                <w:t>.</w:t>
              </w:r>
            </w:hyperlink>
            <w:r w:rsidRPr="00CE16DC">
              <w:t xml:space="preserve"> </w:t>
            </w:r>
          </w:p>
          <w:p w:rsidR="00CE16DC" w:rsidRPr="00CE16DC" w:rsidRDefault="00CE16DC" w:rsidP="00CE16DC">
            <w:r w:rsidRPr="00CE16DC">
              <w:rPr>
                <w:noProof/>
              </w:rPr>
              <w:drawing>
                <wp:inline distT="0" distB="0" distL="0" distR="0" wp14:anchorId="1D6B786F" wp14:editId="3EF80C12">
                  <wp:extent cx="1149990" cy="1152939"/>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50640" cy="1153591"/>
                          </a:xfrm>
                          <a:prstGeom prst="rect">
                            <a:avLst/>
                          </a:prstGeom>
                        </pic:spPr>
                      </pic:pic>
                    </a:graphicData>
                  </a:graphic>
                </wp:inline>
              </w:drawing>
            </w:r>
            <w:r w:rsidRPr="00CE16DC">
              <w:rPr>
                <w:noProof/>
              </w:rPr>
              <w:drawing>
                <wp:inline distT="0" distB="0" distL="0" distR="0" wp14:anchorId="4CF3EEE5" wp14:editId="4520B7A9">
                  <wp:extent cx="1691593" cy="1152939"/>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92550" cy="1153591"/>
                          </a:xfrm>
                          <a:prstGeom prst="rect">
                            <a:avLst/>
                          </a:prstGeom>
                          <a:noFill/>
                          <a:ln>
                            <a:noFill/>
                          </a:ln>
                        </pic:spPr>
                      </pic:pic>
                    </a:graphicData>
                  </a:graphic>
                </wp:inline>
              </w:drawing>
            </w:r>
          </w:p>
          <w:p w:rsidR="00CE16DC" w:rsidRPr="00CE16DC" w:rsidRDefault="00CE16DC" w:rsidP="00CE16DC">
            <w:r w:rsidRPr="00CE16DC">
              <w:t>Pil pompaya benzer bir görevle elektrik yüklerine elektriksel bir kuvvet uygular. Bu kuvvetin etkisiyle elektrik yükleri kinetik enerji kazanarak bu enerji tel boyunca iletilerek iletkendeki yükler arasında enerji aktarımı gerçekleşir. Negatif yüklerin titreşim hareketi sonucunda oluşan bu enerji aktarımı</w:t>
            </w:r>
            <w:r w:rsidRPr="00CE16DC">
              <w:rPr>
                <w:bCs/>
              </w:rPr>
              <w:t xml:space="preserve">na </w:t>
            </w:r>
            <w:r w:rsidRPr="00CE16DC">
              <w:rPr>
                <w:b/>
                <w:bCs/>
              </w:rPr>
              <w:t xml:space="preserve">elektrik akımı </w:t>
            </w:r>
            <w:r w:rsidRPr="00CE16DC">
              <w:rPr>
                <w:bCs/>
              </w:rPr>
              <w:t>denir</w:t>
            </w:r>
            <w:hyperlink r:id="rId35" w:history="1">
              <w:r w:rsidRPr="00CE16DC">
                <w:rPr>
                  <w:rStyle w:val="Kpr"/>
                  <w:color w:val="auto"/>
                  <w:u w:val="none"/>
                </w:rPr>
                <w:t>.</w:t>
              </w:r>
            </w:hyperlink>
            <w:r w:rsidRPr="00CE16DC">
              <w:t xml:space="preserve"> Pilin negatif kutbundan pozitif kutbuna doğru harekete zorlanan negatif yükler, sahip oldukları enerjiyi pilin pozitif kutbundan negatif kutbuna doğru aktarır ve elektrik akımı oluşur</w:t>
            </w:r>
            <w:hyperlink r:id="rId36" w:history="1">
              <w:r w:rsidRPr="00CE16DC">
                <w:rPr>
                  <w:rStyle w:val="Kpr"/>
                  <w:color w:val="auto"/>
                  <w:u w:val="none"/>
                </w:rPr>
                <w:t>.</w:t>
              </w:r>
            </w:hyperlink>
          </w:p>
          <w:p w:rsidR="00CE16DC" w:rsidRPr="00CE16DC" w:rsidRDefault="00CE16DC" w:rsidP="00CE16DC">
            <w:r w:rsidRPr="00CE16DC">
              <w:t>Su tesisatı ile elektrik devresinin birbirine benzeyen yönleri olduğu gibi benzemeyen yönleri de vardır. Benzemeyen yönler;</w:t>
            </w:r>
          </w:p>
          <w:p w:rsidR="00CE16DC" w:rsidRPr="00CE16DC" w:rsidRDefault="00CE16DC" w:rsidP="00CE16DC">
            <w:pPr>
              <w:pStyle w:val="ListeParagraf"/>
              <w:numPr>
                <w:ilvl w:val="0"/>
                <w:numId w:val="22"/>
              </w:numPr>
              <w:spacing w:after="160" w:line="259" w:lineRule="auto"/>
            </w:pPr>
            <w:r w:rsidRPr="00CE16DC">
              <w:t>Su tesisatındaki boru kesildiğinde suyun akışı bir süre daha devam eder. Elektrik devresinde ise teller arasında bağlantı koptuğu zaman elektrik akımı anında kesilir</w:t>
            </w:r>
            <w:hyperlink r:id="rId37" w:history="1">
              <w:r w:rsidRPr="00CE16DC">
                <w:rPr>
                  <w:rStyle w:val="Kpr"/>
                  <w:color w:val="auto"/>
                  <w:u w:val="none"/>
                </w:rPr>
                <w:t>.</w:t>
              </w:r>
            </w:hyperlink>
          </w:p>
          <w:p w:rsidR="00CE16DC" w:rsidRPr="00CE16DC" w:rsidRDefault="00CE16DC" w:rsidP="00CE16DC">
            <w:pPr>
              <w:pStyle w:val="ListeParagraf"/>
              <w:numPr>
                <w:ilvl w:val="0"/>
                <w:numId w:val="22"/>
              </w:numPr>
              <w:spacing w:after="160" w:line="259" w:lineRule="auto"/>
            </w:pPr>
            <w:r w:rsidRPr="00CE16DC">
              <w:t>Su tesisatında eğer şeffaf boru kullanırsak hareket eden suyu gözlemleyebiliriz. Fakat elektrik devresinde titreşim hareketi yapan yükleri gözümüzle göremeyiz</w:t>
            </w:r>
            <w:hyperlink r:id="rId38" w:history="1">
              <w:r w:rsidRPr="00CE16DC">
                <w:rPr>
                  <w:rStyle w:val="Kpr"/>
                  <w:color w:val="auto"/>
                  <w:u w:val="none"/>
                </w:rPr>
                <w:t>.</w:t>
              </w:r>
            </w:hyperlink>
          </w:p>
          <w:p w:rsidR="00CE16DC" w:rsidRPr="00CE16DC" w:rsidRDefault="00CE16DC" w:rsidP="00CE16DC">
            <w:pPr>
              <w:pStyle w:val="ListeParagraf"/>
              <w:numPr>
                <w:ilvl w:val="0"/>
                <w:numId w:val="22"/>
              </w:numPr>
              <w:spacing w:after="160" w:line="259" w:lineRule="auto"/>
            </w:pPr>
            <w:r w:rsidRPr="00CE16DC">
              <w:t>Su tesisatındaki su borular içerisinde akarken, elektrik akımında elektronlar, bir noktadan başka bir noktaya hareket etmezler. Titreşim hareketi sayesinde diğer taneciklere çarparak enerjilerini aktarırlar.</w:t>
            </w:r>
          </w:p>
          <w:p w:rsidR="00CE16DC" w:rsidRPr="00CE16DC" w:rsidRDefault="00CE16DC" w:rsidP="00CE16DC">
            <w:r w:rsidRPr="00CE16DC">
              <w:t>Negatif yüklerin, titreşim hareketi sonucunda sahip oldukları hareket enerjisini yakınındaki negatif yüklerle çarparak tel boyunca iletmesi ile elektrik akımı oluşur</w:t>
            </w:r>
            <w:hyperlink r:id="rId39" w:history="1">
              <w:r w:rsidRPr="00CE16DC">
                <w:rPr>
                  <w:rStyle w:val="Kpr"/>
                  <w:color w:val="auto"/>
                  <w:u w:val="none"/>
                </w:rPr>
                <w:t>.</w:t>
              </w:r>
            </w:hyperlink>
            <w:r w:rsidRPr="00CE16DC">
              <w:t xml:space="preserve"> </w:t>
            </w:r>
          </w:p>
          <w:p w:rsidR="00CE16DC" w:rsidRPr="00CE16DC" w:rsidRDefault="00CE16DC" w:rsidP="00CE16DC">
            <w:r w:rsidRPr="00CE16DC">
              <w:t xml:space="preserve">Burada dikkat edilmesi gereken önemli noktalardan biri yüklerin hareket yönü ile elektrik akımının hareket yönünün farklı olduğudur. Atomun yapısındaki </w:t>
            </w:r>
            <w:r w:rsidRPr="00CE16DC">
              <w:lastRenderedPageBreak/>
              <w:t>protonlar hareketsiz, elektronlar hareketlidir. Bu nedenle elektrik devrelerinde pil tarafından sağlanan enerji elektronları yani negatif yükleri harekete geçirir. Negatif yükler aldıkları enerji ile harekete geçerler (titreşim hareketi) ve sahip oldukları enerjiyi komşu negatif yüklere aktarırlar. Aynı tel içindeki bütün negatif yükler ortalama olarak aynı süratle titreşir. Negatif yükler pilden sağladıkları enerjiyi ampule taşır</w:t>
            </w:r>
            <w:hyperlink r:id="rId40" w:history="1">
              <w:r w:rsidRPr="00CE16DC">
                <w:rPr>
                  <w:rStyle w:val="Kpr"/>
                  <w:color w:val="auto"/>
                  <w:u w:val="none"/>
                </w:rPr>
                <w:t>.</w:t>
              </w:r>
            </w:hyperlink>
            <w:r w:rsidRPr="00CE16DC">
              <w:t xml:space="preserve"> Bu enerji ampulde ısı ve ışığa dönüşür</w:t>
            </w:r>
            <w:hyperlink r:id="rId41" w:history="1">
              <w:r w:rsidRPr="00CE16DC">
                <w:rPr>
                  <w:rStyle w:val="Kpr"/>
                  <w:color w:val="auto"/>
                  <w:u w:val="none"/>
                </w:rPr>
                <w:t>.</w:t>
              </w:r>
            </w:hyperlink>
            <w:r w:rsidRPr="00CE16DC">
              <w:t xml:space="preserve"> Negatif yüklerin titreşim hareketi ile pilin (+) kutbunda devre tamamlanır. Yani negatif yüklerin yönü pilin “-” ucundan “+” ucuna doğrudur.</w:t>
            </w:r>
          </w:p>
          <w:p w:rsidR="00CE16DC" w:rsidRPr="00CE16DC" w:rsidRDefault="00CE16DC" w:rsidP="00CE16DC">
            <w:r w:rsidRPr="00CE16DC">
              <w:rPr>
                <w:noProof/>
              </w:rPr>
              <w:drawing>
                <wp:inline distT="0" distB="0" distL="0" distR="0" wp14:anchorId="13329A86" wp14:editId="175ECF23">
                  <wp:extent cx="4330829" cy="265573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334111" cy="2657748"/>
                          </a:xfrm>
                          <a:prstGeom prst="rect">
                            <a:avLst/>
                          </a:prstGeom>
                        </pic:spPr>
                      </pic:pic>
                    </a:graphicData>
                  </a:graphic>
                </wp:inline>
              </w:drawing>
            </w:r>
          </w:p>
          <w:p w:rsidR="00CE16DC" w:rsidRPr="00CE16DC" w:rsidRDefault="00CE16DC" w:rsidP="00CE16DC">
            <w:r w:rsidRPr="00CE16DC">
              <w:t>Elektrik akımının yönü ise bugün bilimsel olarak yanlış olarak kabul edilse de pilin “+” ucundan “-” ucuna doğrudur. Bunun nedeni aşağıda kısaca açıklanmıştır:</w:t>
            </w:r>
          </w:p>
          <w:p w:rsidR="00CE16DC" w:rsidRPr="00CE16DC" w:rsidRDefault="00CE16DC" w:rsidP="00CE16DC">
            <w:r w:rsidRPr="00CE16DC">
              <w:t>Bilim insanlar</w:t>
            </w:r>
            <w:r w:rsidRPr="00CE16DC">
              <w:rPr>
                <w:rFonts w:hint="eastAsia"/>
              </w:rPr>
              <w:t>ı</w:t>
            </w:r>
            <w:r w:rsidRPr="00CE16DC">
              <w:t>, eski tarihlerde elektrik ak</w:t>
            </w:r>
            <w:r w:rsidRPr="00CE16DC">
              <w:rPr>
                <w:rFonts w:hint="eastAsia"/>
              </w:rPr>
              <w:t>ı</w:t>
            </w:r>
            <w:r w:rsidRPr="00CE16DC">
              <w:t>m</w:t>
            </w:r>
            <w:r w:rsidRPr="00CE16DC">
              <w:rPr>
                <w:rFonts w:hint="eastAsia"/>
              </w:rPr>
              <w:t>ı</w:t>
            </w:r>
            <w:r w:rsidRPr="00CE16DC">
              <w:t>n</w:t>
            </w:r>
            <w:r w:rsidRPr="00CE16DC">
              <w:rPr>
                <w:rFonts w:hint="eastAsia"/>
              </w:rPr>
              <w:t>ı</w:t>
            </w:r>
            <w:r w:rsidRPr="00CE16DC">
              <w:t>n yönünü, enerji kaynaklar</w:t>
            </w:r>
            <w:r w:rsidRPr="00CE16DC">
              <w:rPr>
                <w:rFonts w:hint="eastAsia"/>
              </w:rPr>
              <w:t>ı</w:t>
            </w:r>
            <w:r w:rsidRPr="00CE16DC">
              <w:t>n</w:t>
            </w:r>
            <w:r w:rsidRPr="00CE16DC">
              <w:rPr>
                <w:rFonts w:hint="eastAsia"/>
              </w:rPr>
              <w:t>ı</w:t>
            </w:r>
            <w:r w:rsidRPr="00CE16DC">
              <w:t>n kutuplar</w:t>
            </w:r>
            <w:r w:rsidRPr="00CE16DC">
              <w:rPr>
                <w:rFonts w:hint="eastAsia"/>
              </w:rPr>
              <w:t>ı</w:t>
            </w:r>
            <w:r w:rsidRPr="00CE16DC">
              <w:t>yla açıklanabileceği fikrini savunmuşlard</w:t>
            </w:r>
            <w:r w:rsidRPr="00CE16DC">
              <w:rPr>
                <w:rFonts w:hint="eastAsia"/>
              </w:rPr>
              <w:t>ı</w:t>
            </w:r>
            <w:r w:rsidRPr="00CE16DC">
              <w:t>r. Elektrik ak</w:t>
            </w:r>
            <w:r w:rsidRPr="00CE16DC">
              <w:rPr>
                <w:rFonts w:hint="eastAsia"/>
              </w:rPr>
              <w:t>ı</w:t>
            </w:r>
            <w:r w:rsidRPr="00CE16DC">
              <w:t>m</w:t>
            </w:r>
            <w:r w:rsidRPr="00CE16DC">
              <w:rPr>
                <w:rFonts w:hint="eastAsia"/>
              </w:rPr>
              <w:t>ı</w:t>
            </w:r>
            <w:r w:rsidRPr="00CE16DC">
              <w:t>n</w:t>
            </w:r>
            <w:r w:rsidRPr="00CE16DC">
              <w:rPr>
                <w:rFonts w:hint="eastAsia"/>
              </w:rPr>
              <w:t>ı</w:t>
            </w:r>
            <w:r w:rsidRPr="00CE16DC">
              <w:t>n pilin pozitif (+) kutbundan negatif (</w:t>
            </w:r>
            <w:r w:rsidRPr="00CE16DC">
              <w:rPr>
                <w:rFonts w:hint="eastAsia"/>
              </w:rPr>
              <w:t>–</w:t>
            </w:r>
            <w:r w:rsidRPr="00CE16DC">
              <w:t>) kutbuna doğru olduğu görüşünü öne sürmüşlerdir. Günümüzde ise yukarıda da belirtildiği gibi elektrik devresinde negatif yüklerin ak</w:t>
            </w:r>
            <w:r w:rsidRPr="00CE16DC">
              <w:rPr>
                <w:rFonts w:hint="eastAsia"/>
              </w:rPr>
              <w:t>ı</w:t>
            </w:r>
            <w:r w:rsidRPr="00CE16DC">
              <w:t>ş yönünün, pilin negatif kutbundan pozitif kutbuna doğru olduğu bilinmektedir. Birçok bilimsel yasada ilk düşünce temel alındığı için bu düşünce korunmuştur</w:t>
            </w:r>
            <w:hyperlink r:id="rId43" w:history="1">
              <w:r w:rsidRPr="00CE16DC">
                <w:rPr>
                  <w:rStyle w:val="Kpr"/>
                  <w:color w:val="auto"/>
                  <w:u w:val="none"/>
                </w:rPr>
                <w:t>.</w:t>
              </w:r>
            </w:hyperlink>
            <w:r w:rsidRPr="00CE16DC">
              <w:t xml:space="preserve"> Buna göre; negatif yükler pilin “</w:t>
            </w:r>
            <w:r w:rsidRPr="00CE16DC">
              <w:rPr>
                <w:rFonts w:hint="eastAsia"/>
              </w:rPr>
              <w:t>–</w:t>
            </w:r>
            <w:r w:rsidRPr="00CE16DC">
              <w:t>” kutbundan “+” kutbuna doğru akmas</w:t>
            </w:r>
            <w:r w:rsidRPr="00CE16DC">
              <w:rPr>
                <w:rFonts w:hint="eastAsia"/>
              </w:rPr>
              <w:t>ı</w:t>
            </w:r>
            <w:r w:rsidRPr="00CE16DC">
              <w:t>na karş</w:t>
            </w:r>
            <w:r w:rsidRPr="00CE16DC">
              <w:rPr>
                <w:rFonts w:hint="eastAsia"/>
              </w:rPr>
              <w:t>ı</w:t>
            </w:r>
            <w:r w:rsidRPr="00CE16DC">
              <w:t>n elektrik ak</w:t>
            </w:r>
            <w:r w:rsidRPr="00CE16DC">
              <w:rPr>
                <w:rFonts w:hint="eastAsia"/>
              </w:rPr>
              <w:t>ı</w:t>
            </w:r>
            <w:r w:rsidRPr="00CE16DC">
              <w:t>m yönünün pilin “+” kutbundan “</w:t>
            </w:r>
            <w:r w:rsidRPr="00CE16DC">
              <w:rPr>
                <w:rFonts w:hint="eastAsia"/>
              </w:rPr>
              <w:t>-</w:t>
            </w:r>
            <w:r w:rsidRPr="00CE16DC">
              <w:t>” kutbuna doğru olduğu kabul edilmektedir</w:t>
            </w:r>
            <w:hyperlink r:id="rId44" w:history="1">
              <w:r w:rsidRPr="00CE16DC">
                <w:rPr>
                  <w:rStyle w:val="Kpr"/>
                  <w:color w:val="auto"/>
                  <w:u w:val="none"/>
                </w:rPr>
                <w:t>.</w:t>
              </w:r>
            </w:hyperlink>
            <w:r w:rsidRPr="00CE16DC">
              <w:t xml:space="preserve"> Elektrik devresinde elektrik akımının yönünü bulmak için pilin kutuplarına bakarız. Elektrik akımının yönü, pozitif kutuptan negatif kutba doğrudur. Devredeki elektrik enerjisi kaynakları olan pil, akü vb. elektrik akımını sağlar ve ampul, elektrik yüklerinin taşıdığı elektrik enerjisini kullanır</w:t>
            </w:r>
            <w:hyperlink r:id="rId45" w:history="1">
              <w:r w:rsidRPr="00CE16DC">
                <w:rPr>
                  <w:rStyle w:val="Kpr"/>
                  <w:color w:val="auto"/>
                  <w:u w:val="none"/>
                </w:rPr>
                <w:t>.</w:t>
              </w:r>
            </w:hyperlink>
          </w:p>
          <w:p w:rsidR="00CE16DC" w:rsidRPr="00CE16DC" w:rsidRDefault="00CE16DC" w:rsidP="00CE16DC">
            <w:r w:rsidRPr="00CE16DC">
              <w:rPr>
                <w:noProof/>
              </w:rPr>
              <w:drawing>
                <wp:inline distT="0" distB="0" distL="0" distR="0" wp14:anchorId="2B3D3DFE" wp14:editId="67800FAA">
                  <wp:extent cx="1900362" cy="2232624"/>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903375" cy="2236163"/>
                          </a:xfrm>
                          <a:prstGeom prst="rect">
                            <a:avLst/>
                          </a:prstGeom>
                        </pic:spPr>
                      </pic:pic>
                    </a:graphicData>
                  </a:graphic>
                </wp:inline>
              </w:drawing>
            </w:r>
            <w:bookmarkStart w:id="0" w:name="_GoBack"/>
            <w:bookmarkEnd w:id="0"/>
          </w:p>
          <w:p w:rsidR="00CE16DC" w:rsidRPr="00CE16DC" w:rsidRDefault="00CE16DC" w:rsidP="00CE16DC">
            <w:r w:rsidRPr="00CE16DC">
              <w:t>Elektrik devresinde anahtar kapalı iken elektrik yükleri pilin negatif kutbundan titreşim hareketine başlar, sahip oldukları enerjiyi birbirlerine aktararak pilin pozitif kutbuna kadar hareketlerini sürdürür</w:t>
            </w:r>
            <w:hyperlink r:id="rId47" w:history="1">
              <w:r w:rsidRPr="00CE16DC">
                <w:rPr>
                  <w:rStyle w:val="Kpr"/>
                  <w:color w:val="auto"/>
                  <w:u w:val="none"/>
                </w:rPr>
                <w:t>.</w:t>
              </w:r>
            </w:hyperlink>
            <w:r w:rsidRPr="00CE16DC">
              <w:t xml:space="preserve"> Bu durumda devre kapalıdır. Elektrik devresindeki anahtar açıksa elektrik yükleri titreşim hareketi yapamaz. Bu durumda enerji aktarımı olmayacağından ampul ışık vermez</w:t>
            </w:r>
            <w:hyperlink r:id="rId48" w:history="1">
              <w:r w:rsidRPr="00CE16DC">
                <w:rPr>
                  <w:rStyle w:val="Kpr"/>
                  <w:color w:val="auto"/>
                  <w:u w:val="none"/>
                </w:rPr>
                <w:t>.</w:t>
              </w:r>
            </w:hyperlink>
          </w:p>
          <w:p w:rsidR="001E2BDD" w:rsidRPr="00804215" w:rsidRDefault="001E2BDD" w:rsidP="00143075">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85EEC" w:rsidRDefault="000E120A" w:rsidP="0006329D">
            <w:pPr>
              <w:jc w:val="cente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4C4335" w:rsidP="00125FE2">
      <w:pPr>
        <w:jc w:val="center"/>
        <w:rPr>
          <w:sz w:val="24"/>
          <w:szCs w:val="24"/>
        </w:rPr>
      </w:pPr>
      <w:hyperlink r:id="rId49"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32FAB"/>
    <w:multiLevelType w:val="hybridMultilevel"/>
    <w:tmpl w:val="FA9005D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83597"/>
    <w:multiLevelType w:val="multilevel"/>
    <w:tmpl w:val="319CA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F85054"/>
    <w:multiLevelType w:val="hybridMultilevel"/>
    <w:tmpl w:val="C3A4F4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19036A"/>
    <w:multiLevelType w:val="hybridMultilevel"/>
    <w:tmpl w:val="3B92D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5A32AD"/>
    <w:multiLevelType w:val="multilevel"/>
    <w:tmpl w:val="BBB6E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770A77"/>
    <w:multiLevelType w:val="multilevel"/>
    <w:tmpl w:val="5192D3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EE5206"/>
    <w:multiLevelType w:val="multilevel"/>
    <w:tmpl w:val="CDE8C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16"/>
  </w:num>
  <w:num w:numId="4">
    <w:abstractNumId w:val="8"/>
  </w:num>
  <w:num w:numId="5">
    <w:abstractNumId w:val="2"/>
  </w:num>
  <w:num w:numId="6">
    <w:abstractNumId w:val="3"/>
  </w:num>
  <w:num w:numId="7">
    <w:abstractNumId w:val="0"/>
  </w:num>
  <w:num w:numId="8">
    <w:abstractNumId w:val="18"/>
  </w:num>
  <w:num w:numId="9">
    <w:abstractNumId w:val="9"/>
  </w:num>
  <w:num w:numId="10">
    <w:abstractNumId w:val="12"/>
  </w:num>
  <w:num w:numId="11">
    <w:abstractNumId w:val="7"/>
  </w:num>
  <w:num w:numId="12">
    <w:abstractNumId w:val="20"/>
  </w:num>
  <w:num w:numId="13">
    <w:abstractNumId w:val="6"/>
  </w:num>
  <w:num w:numId="14">
    <w:abstractNumId w:val="1"/>
  </w:num>
  <w:num w:numId="15">
    <w:abstractNumId w:val="17"/>
  </w:num>
  <w:num w:numId="16">
    <w:abstractNumId w:val="19"/>
  </w:num>
  <w:num w:numId="17">
    <w:abstractNumId w:val="15"/>
  </w:num>
  <w:num w:numId="18">
    <w:abstractNumId w:val="5"/>
  </w:num>
  <w:num w:numId="19">
    <w:abstractNumId w:val="21"/>
  </w:num>
  <w:num w:numId="20">
    <w:abstractNumId w:val="11"/>
  </w:num>
  <w:num w:numId="21">
    <w:abstractNumId w:val="1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6740"/>
    <w:rsid w:val="0006329D"/>
    <w:rsid w:val="00074A07"/>
    <w:rsid w:val="000A299B"/>
    <w:rsid w:val="000E120A"/>
    <w:rsid w:val="001030B8"/>
    <w:rsid w:val="00105C8B"/>
    <w:rsid w:val="00125FE2"/>
    <w:rsid w:val="00143075"/>
    <w:rsid w:val="0018041D"/>
    <w:rsid w:val="001E2BDD"/>
    <w:rsid w:val="001F4056"/>
    <w:rsid w:val="00283C0E"/>
    <w:rsid w:val="002E76AB"/>
    <w:rsid w:val="0033357B"/>
    <w:rsid w:val="00334838"/>
    <w:rsid w:val="0036526B"/>
    <w:rsid w:val="00426EB7"/>
    <w:rsid w:val="0043426E"/>
    <w:rsid w:val="004673E0"/>
    <w:rsid w:val="004879CD"/>
    <w:rsid w:val="004C4335"/>
    <w:rsid w:val="00563F64"/>
    <w:rsid w:val="0056529B"/>
    <w:rsid w:val="00570545"/>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AD09A3"/>
    <w:rsid w:val="00B0338F"/>
    <w:rsid w:val="00B77C5E"/>
    <w:rsid w:val="00BB45D6"/>
    <w:rsid w:val="00C057DF"/>
    <w:rsid w:val="00CE16DC"/>
    <w:rsid w:val="00CF519F"/>
    <w:rsid w:val="00CF7B3A"/>
    <w:rsid w:val="00D20BD0"/>
    <w:rsid w:val="00D451E7"/>
    <w:rsid w:val="00D60F24"/>
    <w:rsid w:val="00D84B6A"/>
    <w:rsid w:val="00D97D7D"/>
    <w:rsid w:val="00E1489E"/>
    <w:rsid w:val="00E7177F"/>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GridTable4Accent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customStyle="1" w:styleId="GridTable4Accent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GridTable4Accent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0389663">
      <w:bodyDiv w:val="1"/>
      <w:marLeft w:val="0"/>
      <w:marRight w:val="0"/>
      <w:marTop w:val="0"/>
      <w:marBottom w:val="0"/>
      <w:divBdr>
        <w:top w:val="none" w:sz="0" w:space="0" w:color="auto"/>
        <w:left w:val="none" w:sz="0" w:space="0" w:color="auto"/>
        <w:bottom w:val="none" w:sz="0" w:space="0" w:color="auto"/>
        <w:right w:val="none" w:sz="0" w:space="0" w:color="auto"/>
      </w:divBdr>
      <w:divsChild>
        <w:div w:id="1447314993">
          <w:marLeft w:val="0"/>
          <w:marRight w:val="0"/>
          <w:marTop w:val="96"/>
          <w:marBottom w:val="300"/>
          <w:divBdr>
            <w:top w:val="none" w:sz="0" w:space="0" w:color="auto"/>
            <w:left w:val="none" w:sz="0" w:space="0" w:color="auto"/>
            <w:bottom w:val="none" w:sz="0" w:space="0" w:color="auto"/>
            <w:right w:val="none" w:sz="0" w:space="0" w:color="auto"/>
          </w:divBdr>
        </w:div>
        <w:div w:id="1221862355">
          <w:marLeft w:val="0"/>
          <w:marRight w:val="0"/>
          <w:marTop w:val="96"/>
          <w:marBottom w:val="300"/>
          <w:divBdr>
            <w:top w:val="none" w:sz="0" w:space="0" w:color="auto"/>
            <w:left w:val="none" w:sz="0" w:space="0" w:color="auto"/>
            <w:bottom w:val="none" w:sz="0" w:space="0" w:color="auto"/>
            <w:right w:val="none" w:sz="0" w:space="0" w:color="auto"/>
          </w:divBdr>
        </w:div>
        <w:div w:id="770782783">
          <w:marLeft w:val="0"/>
          <w:marRight w:val="0"/>
          <w:marTop w:val="0"/>
          <w:marBottom w:val="0"/>
          <w:divBdr>
            <w:top w:val="none" w:sz="0" w:space="0" w:color="auto"/>
            <w:left w:val="none" w:sz="0" w:space="0" w:color="auto"/>
            <w:bottom w:val="none" w:sz="0" w:space="0" w:color="auto"/>
            <w:right w:val="none" w:sz="0" w:space="0" w:color="auto"/>
          </w:divBdr>
          <w:divsChild>
            <w:div w:id="863439877">
              <w:marLeft w:val="0"/>
              <w:marRight w:val="0"/>
              <w:marTop w:val="100"/>
              <w:marBottom w:val="100"/>
              <w:divBdr>
                <w:top w:val="none" w:sz="0" w:space="0" w:color="auto"/>
                <w:left w:val="none" w:sz="0" w:space="0" w:color="auto"/>
                <w:bottom w:val="none" w:sz="0" w:space="0" w:color="auto"/>
                <w:right w:val="none" w:sz="0" w:space="0" w:color="auto"/>
              </w:divBdr>
              <w:divsChild>
                <w:div w:id="1003359554">
                  <w:marLeft w:val="0"/>
                  <w:marRight w:val="0"/>
                  <w:marTop w:val="300"/>
                  <w:marBottom w:val="300"/>
                  <w:divBdr>
                    <w:top w:val="single" w:sz="6" w:space="0" w:color="F0F0F0"/>
                    <w:left w:val="single" w:sz="6" w:space="0" w:color="F0F0F0"/>
                    <w:bottom w:val="single" w:sz="6" w:space="0" w:color="F0F0F0"/>
                    <w:right w:val="single" w:sz="6" w:space="0" w:color="F0F0F0"/>
                  </w:divBdr>
                  <w:divsChild>
                    <w:div w:id="289866229">
                      <w:marLeft w:val="0"/>
                      <w:marRight w:val="0"/>
                      <w:marTop w:val="0"/>
                      <w:marBottom w:val="0"/>
                      <w:divBdr>
                        <w:top w:val="none" w:sz="0" w:space="0" w:color="auto"/>
                        <w:left w:val="none" w:sz="0" w:space="0" w:color="auto"/>
                        <w:bottom w:val="none" w:sz="0" w:space="0" w:color="auto"/>
                        <w:right w:val="none" w:sz="0" w:space="0" w:color="auto"/>
                      </w:divBdr>
                    </w:div>
                    <w:div w:id="495923283">
                      <w:marLeft w:val="150"/>
                      <w:marRight w:val="150"/>
                      <w:marTop w:val="150"/>
                      <w:marBottom w:val="150"/>
                      <w:divBdr>
                        <w:top w:val="single" w:sz="6" w:space="0" w:color="F0F0F0"/>
                        <w:left w:val="single" w:sz="6" w:space="0" w:color="F0F0F0"/>
                        <w:bottom w:val="single" w:sz="6" w:space="0" w:color="F0F0F0"/>
                        <w:right w:val="single" w:sz="6" w:space="0" w:color="F0F0F0"/>
                      </w:divBdr>
                    </w:div>
                    <w:div w:id="631374279">
                      <w:marLeft w:val="0"/>
                      <w:marRight w:val="0"/>
                      <w:marTop w:val="0"/>
                      <w:marBottom w:val="0"/>
                      <w:divBdr>
                        <w:top w:val="none" w:sz="0" w:space="0" w:color="auto"/>
                        <w:left w:val="none" w:sz="0" w:space="0" w:color="auto"/>
                        <w:bottom w:val="none" w:sz="0" w:space="0" w:color="auto"/>
                        <w:right w:val="none" w:sz="0" w:space="0" w:color="auto"/>
                      </w:divBdr>
                      <w:divsChild>
                        <w:div w:id="19746711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12435522">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597666168">
      <w:bodyDiv w:val="1"/>
      <w:marLeft w:val="0"/>
      <w:marRight w:val="0"/>
      <w:marTop w:val="0"/>
      <w:marBottom w:val="0"/>
      <w:divBdr>
        <w:top w:val="none" w:sz="0" w:space="0" w:color="auto"/>
        <w:left w:val="none" w:sz="0" w:space="0" w:color="auto"/>
        <w:bottom w:val="none" w:sz="0" w:space="0" w:color="auto"/>
        <w:right w:val="none" w:sz="0" w:space="0" w:color="auto"/>
      </w:divBdr>
      <w:divsChild>
        <w:div w:id="19125466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fenehli.com/" TargetMode="External"/><Relationship Id="rId26" Type="http://schemas.openxmlformats.org/officeDocument/2006/relationships/hyperlink" Target="http://www.fenehli.com/" TargetMode="External"/><Relationship Id="rId39" Type="http://schemas.openxmlformats.org/officeDocument/2006/relationships/hyperlink" Target="http://www.fenehli.com/" TargetMode="External"/><Relationship Id="rId3" Type="http://schemas.microsoft.com/office/2007/relationships/stylesWithEffects" Target="stylesWithEffects.xml"/><Relationship Id="rId21" Type="http://schemas.openxmlformats.org/officeDocument/2006/relationships/image" Target="media/image6.png"/><Relationship Id="rId34" Type="http://schemas.openxmlformats.org/officeDocument/2006/relationships/image" Target="media/image12.png"/><Relationship Id="rId42" Type="http://schemas.openxmlformats.org/officeDocument/2006/relationships/image" Target="media/image13.png"/><Relationship Id="rId47" Type="http://schemas.openxmlformats.org/officeDocument/2006/relationships/hyperlink" Target="http://www.fenehli.com/"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fenehli.com/" TargetMode="External"/><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image" Target="media/image11.png"/><Relationship Id="rId38" Type="http://schemas.openxmlformats.org/officeDocument/2006/relationships/hyperlink" Target="http://www.fenehli.com/" TargetMode="External"/><Relationship Id="rId46"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29" Type="http://schemas.openxmlformats.org/officeDocument/2006/relationships/image" Target="media/image10.png"/><Relationship Id="rId41"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24" Type="http://schemas.openxmlformats.org/officeDocument/2006/relationships/hyperlink" Target="http://www.fenehli.com/" TargetMode="External"/><Relationship Id="rId32" Type="http://schemas.openxmlformats.org/officeDocument/2006/relationships/hyperlink" Target="http://www.fenehli.com/" TargetMode="External"/><Relationship Id="rId37" Type="http://schemas.openxmlformats.org/officeDocument/2006/relationships/hyperlink" Target="http://www.fenehli.com/" TargetMode="External"/><Relationship Id="rId40" Type="http://schemas.openxmlformats.org/officeDocument/2006/relationships/hyperlink" Target="http://www.fenehli.com/" TargetMode="External"/><Relationship Id="rId45" Type="http://schemas.openxmlformats.org/officeDocument/2006/relationships/hyperlink" Target="http://www.fenehli.com/" TargetMode="External"/><Relationship Id="rId5" Type="http://schemas.openxmlformats.org/officeDocument/2006/relationships/webSettings" Target="webSettings.xml"/><Relationship Id="rId15" Type="http://schemas.openxmlformats.org/officeDocument/2006/relationships/hyperlink" Target="http://www.fenehli.com/" TargetMode="External"/><Relationship Id="rId23" Type="http://schemas.openxmlformats.org/officeDocument/2006/relationships/image" Target="media/image7.png"/><Relationship Id="rId28" Type="http://schemas.openxmlformats.org/officeDocument/2006/relationships/hyperlink" Target="http://www.fenehli.com/" TargetMode="External"/><Relationship Id="rId36" Type="http://schemas.openxmlformats.org/officeDocument/2006/relationships/hyperlink" Target="http://www.fenehli.com/" TargetMode="External"/><Relationship Id="rId49" Type="http://schemas.openxmlformats.org/officeDocument/2006/relationships/hyperlink" Target="http://www.FenEhli.com" TargetMode="External"/><Relationship Id="rId10" Type="http://schemas.openxmlformats.org/officeDocument/2006/relationships/image" Target="media/image2.png"/><Relationship Id="rId19" Type="http://schemas.openxmlformats.org/officeDocument/2006/relationships/hyperlink" Target="http://www.fenehli.com/" TargetMode="External"/><Relationship Id="rId31" Type="http://schemas.openxmlformats.org/officeDocument/2006/relationships/hyperlink" Target="http://www.fenehli.com/" TargetMode="External"/><Relationship Id="rId44" Type="http://schemas.openxmlformats.org/officeDocument/2006/relationships/hyperlink" Target="http://www.fenehli.com/" TargetMode="External"/><Relationship Id="rId4" Type="http://schemas.openxmlformats.org/officeDocument/2006/relationships/settings" Target="settings.xml"/><Relationship Id="rId9" Type="http://schemas.openxmlformats.org/officeDocument/2006/relationships/hyperlink" Target="http://www.fenehli.com/" TargetMode="External"/><Relationship Id="rId14" Type="http://schemas.openxmlformats.org/officeDocument/2006/relationships/image" Target="media/image4.png"/><Relationship Id="rId22" Type="http://schemas.openxmlformats.org/officeDocument/2006/relationships/hyperlink" Target="http://www.fenehli.com/" TargetMode="External"/><Relationship Id="rId27" Type="http://schemas.openxmlformats.org/officeDocument/2006/relationships/image" Target="media/image9.png"/><Relationship Id="rId30" Type="http://schemas.openxmlformats.org/officeDocument/2006/relationships/hyperlink" Target="http://www.fenehli.com/" TargetMode="External"/><Relationship Id="rId35" Type="http://schemas.openxmlformats.org/officeDocument/2006/relationships/hyperlink" Target="http://www.fenehli.com/" TargetMode="External"/><Relationship Id="rId43" Type="http://schemas.openxmlformats.org/officeDocument/2006/relationships/hyperlink" Target="http://www.fenehli.com/" TargetMode="External"/><Relationship Id="rId48" Type="http://schemas.openxmlformats.org/officeDocument/2006/relationships/hyperlink" Target="http://www.fenehli.com/" TargetMode="External"/><Relationship Id="rId8" Type="http://schemas.openxmlformats.org/officeDocument/2006/relationships/hyperlink" Target="http://www.fenehli.com/" TargetMode="External"/><Relationship Id="rId51"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1773</Words>
  <Characters>10111</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İmam-Hatip</cp:lastModifiedBy>
  <cp:revision>2</cp:revision>
  <dcterms:created xsi:type="dcterms:W3CDTF">2016-05-06T13:45:00Z</dcterms:created>
  <dcterms:modified xsi:type="dcterms:W3CDTF">2016-05-06T13:45:00Z</dcterms:modified>
</cp:coreProperties>
</file>