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EB1C2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 – </w:t>
      </w:r>
      <w:r w:rsidR="00B4515C">
        <w:rPr>
          <w:b/>
          <w:sz w:val="24"/>
          <w:szCs w:val="24"/>
        </w:rPr>
        <w:t>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924"/>
        <w:gridCol w:w="3473"/>
      </w:tblGrid>
      <w:tr w:rsidR="00635E5E" w:rsidTr="005637FE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24" w:type="dxa"/>
          </w:tcPr>
          <w:p w:rsidR="00635E5E" w:rsidRDefault="00635E5E">
            <w:r>
              <w:t>Fen Bilimleri</w:t>
            </w:r>
          </w:p>
        </w:tc>
        <w:tc>
          <w:tcPr>
            <w:tcW w:w="3473" w:type="dxa"/>
          </w:tcPr>
          <w:p w:rsidR="00635E5E" w:rsidRDefault="00EB1C2C" w:rsidP="005C4AF8">
            <w:r>
              <w:t>25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r>
              <w:t>20 – 24</w:t>
            </w:r>
            <w:r w:rsidR="000F594E">
              <w:t xml:space="preserve"> </w:t>
            </w:r>
            <w:r w:rsidR="00471589">
              <w:t>Mart</w:t>
            </w:r>
            <w:r w:rsidR="00B4515C">
              <w:t xml:space="preserve"> 201</w:t>
            </w:r>
            <w:r w:rsidR="000C2D29">
              <w:t>7</w:t>
            </w:r>
            <w:r w:rsidR="00635E5E">
              <w:t>)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7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7" w:type="dxa"/>
            <w:gridSpan w:val="2"/>
          </w:tcPr>
          <w:p w:rsidR="00635E5E" w:rsidRPr="00BF41BA" w:rsidRDefault="00BF41BA" w:rsidP="00BF41BA">
            <w:pPr>
              <w:rPr>
                <w:bCs/>
              </w:rPr>
            </w:pPr>
            <w:r w:rsidRPr="00BF41BA">
              <w:rPr>
                <w:bCs/>
              </w:rPr>
              <w:t>6. Ünite: Maddenin Hâlleri Ve Isı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7" w:type="dxa"/>
            <w:gridSpan w:val="2"/>
          </w:tcPr>
          <w:p w:rsidR="00471589" w:rsidRPr="00EB1C2C" w:rsidRDefault="00EB1C2C">
            <w:r w:rsidRPr="00EB1C2C">
              <w:rPr>
                <w:bCs/>
                <w:iCs/>
              </w:rPr>
              <w:t>Isı Alış-verişi ve Sıcaklık Değişimi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7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 xml:space="preserve">II.BÖLÜM </w:t>
      </w:r>
    </w:p>
    <w:tbl>
      <w:tblPr>
        <w:tblStyle w:val="TabloKlavuzu"/>
        <w:tblW w:w="10757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664"/>
      </w:tblGrid>
      <w:tr w:rsidR="00E70CD9" w:rsidTr="00CD00C2">
        <w:trPr>
          <w:trHeight w:val="106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664" w:type="dxa"/>
            <w:vAlign w:val="center"/>
          </w:tcPr>
          <w:p w:rsidR="00DA2389" w:rsidRDefault="00EB1C2C" w:rsidP="005A2218">
            <w:r w:rsidRPr="00EB1C2C">
              <w:t>8.6.2.2. Isı alışverişi ile ilgili problemler çözer</w:t>
            </w:r>
            <w:hyperlink r:id="rId7" w:history="1">
              <w:r w:rsidRPr="00EB1C2C">
                <w:rPr>
                  <w:rStyle w:val="Kpr"/>
                </w:rPr>
                <w:t>.</w:t>
              </w:r>
            </w:hyperlink>
          </w:p>
        </w:tc>
      </w:tr>
      <w:tr w:rsidR="00E70CD9" w:rsidTr="00CD00C2">
        <w:trPr>
          <w:trHeight w:val="79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664" w:type="dxa"/>
            <w:vAlign w:val="center"/>
          </w:tcPr>
          <w:p w:rsidR="00871822" w:rsidRPr="00BF41BA" w:rsidRDefault="00372881" w:rsidP="003479EF">
            <w:pPr>
              <w:rPr>
                <w:bCs/>
              </w:rPr>
            </w:pPr>
            <w:r w:rsidRPr="00372881">
              <w:rPr>
                <w:bCs/>
              </w:rPr>
              <w:t>Isı-kütle ilişkisi, sıcaklık-kütle ilişkisi, ısı-özısı ilişkisi</w:t>
            </w:r>
          </w:p>
        </w:tc>
      </w:tr>
      <w:tr w:rsidR="00E70CD9" w:rsidTr="00CD00C2">
        <w:trPr>
          <w:trHeight w:val="918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664" w:type="dxa"/>
            <w:vAlign w:val="center"/>
          </w:tcPr>
          <w:p w:rsidR="00635E5E" w:rsidRDefault="00D84B6A" w:rsidP="001D41DD">
            <w:r>
              <w:t>Anlatım, Soru Cevap, Grup Çalışması</w:t>
            </w:r>
          </w:p>
        </w:tc>
      </w:tr>
      <w:tr w:rsidR="00E70CD9" w:rsidTr="00B0422A">
        <w:trPr>
          <w:trHeight w:val="60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664" w:type="dxa"/>
            <w:vAlign w:val="center"/>
          </w:tcPr>
          <w:p w:rsidR="00372881" w:rsidRPr="001373E8" w:rsidRDefault="00B0422A" w:rsidP="0037288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70CD9" w:rsidTr="00CD00C2">
        <w:trPr>
          <w:trHeight w:val="66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664" w:type="dxa"/>
            <w:vAlign w:val="center"/>
          </w:tcPr>
          <w:p w:rsidR="00635E5E" w:rsidRDefault="00BF41BA" w:rsidP="003479EF">
            <w:r w:rsidRPr="00BF41BA">
              <w:t>Öz</w:t>
            </w:r>
            <w:r>
              <w:t xml:space="preserve"> </w:t>
            </w:r>
            <w:r w:rsidRPr="00BF41BA">
              <w:t>ısının maddeler için ayırt edici özellik olduğu vurgulanır.</w:t>
            </w:r>
          </w:p>
        </w:tc>
      </w:tr>
      <w:tr w:rsidR="00E70CD9" w:rsidTr="00B0422A">
        <w:trPr>
          <w:trHeight w:val="451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664" w:type="dxa"/>
            <w:vAlign w:val="center"/>
          </w:tcPr>
          <w:p w:rsidR="00372881" w:rsidRPr="00372881" w:rsidRDefault="00B0422A" w:rsidP="000268C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70CD9" w:rsidTr="00CD00C2">
        <w:trPr>
          <w:trHeight w:val="81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664" w:type="dxa"/>
            <w:tcBorders>
              <w:bottom w:val="single" w:sz="4" w:space="0" w:color="auto"/>
            </w:tcBorders>
            <w:vAlign w:val="center"/>
          </w:tcPr>
          <w:p w:rsidR="00372881" w:rsidRDefault="00EB1C2C" w:rsidP="00EB1C2C">
            <w:pPr>
              <w:rPr>
                <w:bCs/>
              </w:rPr>
            </w:pPr>
            <w:r w:rsidRPr="00EB1C2C">
              <w:rPr>
                <w:bCs/>
              </w:rPr>
              <w:t>Isının özısı, kütle ve sıcaklık değişimi ile olan değişimlerini birleştirdiğimizde aşağıdaki bağıntıyı elde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 xml:space="preserve">ederiz. Özısısı c olan m kütleli bir cismin sıcaklığını </w:t>
            </w:r>
            <w:r>
              <w:rPr>
                <w:bCs/>
              </w:rPr>
              <w:sym w:font="Symbol" w:char="F044"/>
            </w:r>
            <w:r w:rsidRPr="00EB1C2C">
              <w:rPr>
                <w:bCs/>
              </w:rPr>
              <w:t>t kadar artırmak için verilmesi gereken ısıyı (Q)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bağıntısı ile hesaplayabiliriz.</w:t>
            </w:r>
          </w:p>
          <w:p w:rsidR="00EB1C2C" w:rsidRPr="00EB1C2C" w:rsidRDefault="00EB1C2C" w:rsidP="00EB1C2C">
            <w:pPr>
              <w:jc w:val="center"/>
              <w:rPr>
                <w:b/>
                <w:bCs/>
                <w:sz w:val="28"/>
              </w:rPr>
            </w:pPr>
            <w:r w:rsidRPr="00EB1C2C">
              <w:rPr>
                <w:b/>
                <w:bCs/>
                <w:sz w:val="28"/>
              </w:rPr>
              <w:t xml:space="preserve">Q = m . c . </w:t>
            </w:r>
            <w:r w:rsidRPr="00EB1C2C">
              <w:rPr>
                <w:b/>
                <w:bCs/>
                <w:sz w:val="28"/>
              </w:rPr>
              <w:sym w:font="Symbol" w:char="F044"/>
            </w:r>
            <w:r w:rsidRPr="00EB1C2C">
              <w:rPr>
                <w:b/>
                <w:bCs/>
                <w:sz w:val="28"/>
              </w:rPr>
              <w:t>t</w:t>
            </w:r>
          </w:p>
          <w:p w:rsidR="00EB1C2C" w:rsidRDefault="00EB1C2C" w:rsidP="00EB1C2C">
            <w:pPr>
              <w:rPr>
                <w:b/>
                <w:bCs/>
              </w:rPr>
            </w:pPr>
            <w:r w:rsidRPr="00EB1C2C">
              <w:rPr>
                <w:b/>
                <w:bCs/>
              </w:rPr>
              <w:t>Örnek</w:t>
            </w:r>
            <w:r>
              <w:rPr>
                <w:b/>
                <w:bCs/>
              </w:rPr>
              <w:t>:</w:t>
            </w:r>
          </w:p>
          <w:p w:rsidR="00EB1C2C" w:rsidRDefault="00EB1C2C" w:rsidP="00EB1C2C">
            <w:pPr>
              <w:rPr>
                <w:bCs/>
              </w:rPr>
            </w:pPr>
            <w:r w:rsidRPr="00EB1C2C">
              <w:rPr>
                <w:bCs/>
              </w:rPr>
              <w:t>500 g kütlesinde ve 12 °C sıcaklığındaki su ile 1000 g kütlesinde ve 28 °C sıcaklıktaki sular özdeş ısıtıcılarla eşit sürede ısıtılmaktadır. 500 g’lık suyun sıcaklığı 22 °C’a ulaştığına göre 1000 g’lık suyun sıcaklığı kaç °C’a ulaşır?</w:t>
            </w:r>
          </w:p>
          <w:p w:rsidR="00EB1C2C" w:rsidRDefault="00EB1C2C" w:rsidP="00EB1C2C">
            <w:pPr>
              <w:rPr>
                <w:b/>
                <w:bCs/>
              </w:rPr>
            </w:pPr>
            <w:r w:rsidRPr="00EB1C2C">
              <w:rPr>
                <w:b/>
                <w:bCs/>
              </w:rPr>
              <w:t>Çözüm</w:t>
            </w:r>
            <w:r>
              <w:rPr>
                <w:b/>
                <w:bCs/>
              </w:rPr>
              <w:t>:</w:t>
            </w:r>
          </w:p>
          <w:p w:rsidR="00EB1C2C" w:rsidRDefault="00EB1C2C" w:rsidP="00EB1C2C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B422607" wp14:editId="3F035CB8">
                  <wp:extent cx="5124450" cy="18859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893" cy="189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B0422A" w:rsidRDefault="00B0422A" w:rsidP="00EB1C2C">
            <w:pPr>
              <w:rPr>
                <w:b/>
                <w:bCs/>
              </w:rPr>
            </w:pPr>
          </w:p>
          <w:p w:rsidR="00EB1C2C" w:rsidRDefault="00EB1C2C" w:rsidP="00EB1C2C">
            <w:pPr>
              <w:rPr>
                <w:b/>
                <w:bCs/>
              </w:rPr>
            </w:pPr>
            <w:r w:rsidRPr="00EB1C2C">
              <w:rPr>
                <w:b/>
                <w:bCs/>
              </w:rPr>
              <w:lastRenderedPageBreak/>
              <w:t>Isı Alışverişi</w:t>
            </w:r>
          </w:p>
          <w:p w:rsidR="00EB1C2C" w:rsidRDefault="00EB1C2C" w:rsidP="00EB1C2C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AC33894" wp14:editId="390262AB">
                  <wp:extent cx="4238725" cy="16573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113" cy="167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C2C" w:rsidRDefault="00EB1C2C" w:rsidP="00EB1C2C">
            <w:pPr>
              <w:rPr>
                <w:bCs/>
              </w:rPr>
            </w:pPr>
            <w:r w:rsidRPr="00EB1C2C">
              <w:rPr>
                <w:bCs/>
              </w:rPr>
              <w:t>Masa üzerinde duran bilyelerin ortasına doğru bir bilye fırlattığımızda neler olacağını düşünelim.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Fırlattığımız bilyenin hızına göre bilyeler birbiri ile çarpışarak birbirini hareketlendirir. Eğer bilyeler başlangıçta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hareket hâlinde olsalardı aynı şekilde, yine hareketlerinde artış gözlenirdi. Bu olayda bilyeleri,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maddeyi oluşturan taneciklere benzetebiliriz. Taneciklerin birinde meydana gelen bir hareket artışı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diğerlerini de etkileyecek, çarpışmanın şiddetine göre belki de bütün taneciklerin hareketlerinde artış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gözlenecektir.</w:t>
            </w:r>
          </w:p>
          <w:p w:rsidR="00EB1C2C" w:rsidRDefault="00EB1C2C" w:rsidP="00EB1C2C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F46CECC" wp14:editId="108B3DFC">
                  <wp:extent cx="5241925" cy="22098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C2C" w:rsidRPr="00EB1C2C" w:rsidRDefault="00EB1C2C" w:rsidP="00EB1C2C">
            <w:pPr>
              <w:rPr>
                <w:bCs/>
              </w:rPr>
            </w:pPr>
            <w:r w:rsidRPr="00EB1C2C">
              <w:rPr>
                <w:bCs/>
              </w:rPr>
              <w:t>Şekilde görülen maddeyi oluşturan taneciklerin belirli bir enerjileri ve dolayısıyla da sıcaklıkları vardır.</w:t>
            </w:r>
          </w:p>
          <w:p w:rsidR="00CD00C2" w:rsidRDefault="00EB1C2C" w:rsidP="00CD00C2">
            <w:pPr>
              <w:rPr>
                <w:bCs/>
              </w:rPr>
            </w:pPr>
            <w:r w:rsidRPr="00EB1C2C">
              <w:rPr>
                <w:bCs/>
              </w:rPr>
              <w:t>Ancak birinci maddenin tanecikleri daha hareketli olduğu için sıcaklığı daha yüksektir. Bu iki maddeyi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birbirine temas ettirdiğimizde çarpışmaların da etkisi ile ikinci maddenin tanecikleri hızlanmaya, birinci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maddenin tanecikleri yavaşlamaya başlar. Bu olay tüm tanecikler ortalama aynı hareketliliğe sahip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oluncaya kadar devam eder. Biz bu değişimi birinci maddenin sıcaklığının azalması, ikinci maddenin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 xml:space="preserve">sıcaklığının artması şeklinde gözlemleriz. Bu olayda gözlenen enerji aktarımına </w:t>
            </w:r>
            <w:r w:rsidRPr="00CD00C2">
              <w:rPr>
                <w:b/>
                <w:bCs/>
              </w:rPr>
              <w:t>ısı alışverişi</w:t>
            </w:r>
            <w:r w:rsidRPr="00EB1C2C">
              <w:rPr>
                <w:bCs/>
              </w:rPr>
              <w:t xml:space="preserve"> denir. Isı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alışverişi, sıcaklığı yüksek olan bir maddeden sıcaklığı düşük olan maddeye doğru sıcaklıklar eşitleninceye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 xml:space="preserve">kadar devam eder. Bu sıcaklığa denge sıcaklığı denir. Denge sıcaklığını kısaca </w:t>
            </w:r>
            <w:r w:rsidRPr="00CD00C2">
              <w:rPr>
                <w:bCs/>
                <w:sz w:val="24"/>
              </w:rPr>
              <w:t>t</w:t>
            </w:r>
            <w:r w:rsidRPr="00CD00C2">
              <w:rPr>
                <w:bCs/>
                <w:sz w:val="24"/>
                <w:vertAlign w:val="subscript"/>
              </w:rPr>
              <w:t>d</w:t>
            </w:r>
            <w:r w:rsidRPr="00EB1C2C">
              <w:rPr>
                <w:bCs/>
              </w:rPr>
              <w:t xml:space="preserve"> ile gösterebiliriz.</w:t>
            </w:r>
            <w:r>
              <w:rPr>
                <w:bCs/>
              </w:rPr>
              <w:t xml:space="preserve"> Denge sıcaklığı </w:t>
            </w:r>
            <w:r w:rsidRPr="00EB1C2C">
              <w:rPr>
                <w:bCs/>
              </w:rPr>
              <w:t>cisimlerin başlangıç sıcaklıkları arasında bir değerdir. Sıcaklıklar eşitlenince ısı akışı</w:t>
            </w:r>
            <w:r>
              <w:rPr>
                <w:bCs/>
              </w:rPr>
              <w:t xml:space="preserve"> </w:t>
            </w:r>
            <w:r w:rsidRPr="00EB1C2C">
              <w:rPr>
                <w:bCs/>
              </w:rPr>
              <w:t>durur. Başlangıçta sıcaklıklar eşit ise hiç ısı akışı gözlenmez.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Aynı maddeden yapılmış eşit kütleli farklı sıcaklıktaki iki cisim birbirine temas ettirilince cisimlerin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sıcaklıklarının nasıl değişeceğini bulalım.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04401487" wp14:editId="74EDC7C2">
                  <wp:extent cx="3132455" cy="146603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149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12A647" wp14:editId="3612A21E">
                  <wp:extent cx="2104640" cy="146494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60" cy="147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Kırmızı cisim ısı verirken cismin sıcaklığı azalacak, mavi cisim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de aynı miktar ısıyı alırken cismin sıcaklığı artacaktır. Cisimlere ait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grafikte kırmızı cismin sıcaklığı 1 °C azalıp 9 °C’a düşünce mavi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cismin sıcaklığı 1 °C artarak 1 °C’a çıkacaktır. Bu alışveriş sıcaklıklar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eşitleninceye kadar devam eder. Yani kırmızı cismin sıcaklığı 5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°C azalıp mavi cismin sıcaklığı 5 °C artınca her iki cismin sıcaklığı 5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°C olur. Eğer kırmızı cisim daha büyük kütleli bir cisim olsaydı denge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sıcaklığı 5 °C ile 10 °C arasında bir değer olurdu. Aynı şekilde,</w:t>
            </w:r>
            <w:r>
              <w:rPr>
                <w:bCs/>
              </w:rPr>
              <w:t xml:space="preserve"> mavi cismin </w:t>
            </w:r>
            <w:r w:rsidRPr="00CD00C2">
              <w:rPr>
                <w:bCs/>
              </w:rPr>
              <w:t>kütlesi daha büyük olsaydı denge sıcaklığı 0 °C ile 5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°C arasında bir değer olurdu.</w:t>
            </w: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Örnek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60 °C sıcaklıktaki bir bardak suyu 30 °C sıcaklıktaki bir bardak suyla büyük bir kapta karıştırırsak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denge sıcaklığı (t</w:t>
            </w:r>
            <w:r w:rsidRPr="00CD00C2">
              <w:rPr>
                <w:bCs/>
                <w:vertAlign w:val="subscript"/>
              </w:rPr>
              <w:t>denge</w:t>
            </w:r>
            <w:r w:rsidRPr="00CD00C2">
              <w:rPr>
                <w:bCs/>
              </w:rPr>
              <w:t>) kaç °C olur? (Isı alışverişinin sadece sular arasında oluştuğunu kabul edelim.)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/>
                <w:bCs/>
              </w:rPr>
              <w:t>Çözüm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Aralarında ısı alışverişi gerçekleşen cisimler aynı maddeden ve eşit kütlede olduğu için her iki cisimdeki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sıcaklık değişimi eşit olacaktır. Çünkü sıcak cisim ısı verirken diğer cisim aynı miktarda ısı alacaktır.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Sıcak cismin sıcaklığı azalırken soğuk cismin sıcaklığı artacaktır. Bu değişimler sonucunda denge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sıcaklığı grafikteki gibi oluşacaktır.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61FCF97" wp14:editId="42B54ADB">
                  <wp:extent cx="5241925" cy="136207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Denge Sıcaklığının Hesaplanması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Sıcaklığı daha yüksek olan demir parçasını sıcaklığı düşük olan su içerisine bıraktığınızda, bir süre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sonra demir parçası soğuyacak su ise ısınacaktır. Çünkü sıcaklığı yüksek olan demirden sıcaklığı düşük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olan suya doğru ısı akışı yaşanacaktır. Demir ve suyun sıcaklıkları eşitlenince ısı akışı sona erer.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 xml:space="preserve">Ulaşılan bu son sıcaklığa </w:t>
            </w:r>
            <w:r w:rsidRPr="00CD00C2">
              <w:rPr>
                <w:b/>
                <w:bCs/>
              </w:rPr>
              <w:t>denge sıcaklığı (t</w:t>
            </w:r>
            <w:r w:rsidRPr="00CD00C2">
              <w:rPr>
                <w:b/>
                <w:bCs/>
                <w:sz w:val="24"/>
                <w:vertAlign w:val="subscript"/>
              </w:rPr>
              <w:t>denge</w:t>
            </w:r>
            <w:r w:rsidRPr="00CD00C2">
              <w:rPr>
                <w:b/>
                <w:bCs/>
              </w:rPr>
              <w:t>)</w:t>
            </w:r>
            <w:r>
              <w:rPr>
                <w:bCs/>
              </w:rPr>
              <w:t xml:space="preserve"> denir. Peki denge </w:t>
            </w:r>
            <w:r w:rsidRPr="00CD00C2">
              <w:rPr>
                <w:bCs/>
              </w:rPr>
              <w:t>sıcaklığının kaç °C olduğunu bulalım.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7DF4F2C" wp14:editId="356D9CB8">
                  <wp:extent cx="5241925" cy="1421130"/>
                  <wp:effectExtent l="0" t="0" r="0" b="762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29B95368" wp14:editId="714BF3EC">
                  <wp:extent cx="5241925" cy="126428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Isı alış-verişi katı-sıvı arasında yaşanabileceği gibi sıvı-sıvı ve diğer durumlarda da yaşanır.</w:t>
            </w: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Örnek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Farklı sıcaklıktaki demir ve bakır çubuklar birbiri üstüne konularak bir süre bekletiliyor. Çubuklar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arasındaki ısı akış yönünü belirterek denge sıcakl</w:t>
            </w:r>
            <w:r>
              <w:rPr>
                <w:bCs/>
              </w:rPr>
              <w:t xml:space="preserve">ığının kaç °C olduğunu bulunuz. </w:t>
            </w:r>
            <w:r w:rsidRPr="00CD00C2">
              <w:rPr>
                <w:bCs/>
              </w:rPr>
              <w:t>(c</w:t>
            </w:r>
            <w:r w:rsidRPr="00CD00C2">
              <w:rPr>
                <w:bCs/>
                <w:vertAlign w:val="subscript"/>
              </w:rPr>
              <w:t>demir</w:t>
            </w:r>
            <w:r w:rsidRPr="00CD00C2">
              <w:rPr>
                <w:bCs/>
              </w:rPr>
              <w:t xml:space="preserve"> = 0,46 J/g°C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c</w:t>
            </w:r>
            <w:r w:rsidRPr="00CD00C2">
              <w:rPr>
                <w:bCs/>
                <w:vertAlign w:val="subscript"/>
              </w:rPr>
              <w:t>bakır</w:t>
            </w:r>
            <w:r w:rsidRPr="00CD00C2">
              <w:rPr>
                <w:bCs/>
              </w:rPr>
              <w:t xml:space="preserve"> = 0,37 J/g°C)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B2E8276" wp14:editId="484EE1B7">
                  <wp:extent cx="5241925" cy="1105535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Çözüm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05CE309A" wp14:editId="553E86E9">
                  <wp:extent cx="5241925" cy="240030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Cs/>
              </w:rPr>
            </w:pP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6BB0CB9" wp14:editId="71F518A8">
                  <wp:extent cx="5241925" cy="2852420"/>
                  <wp:effectExtent l="0" t="0" r="0" b="508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925" cy="285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Örnek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Şekildeki kaplar içerisinde bulunan su ve etil alkolün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kütle, sıcaklık değerleri şekil üzerinde gösterilmiştir.</w:t>
            </w:r>
          </w:p>
          <w:p w:rsidR="00CD00C2" w:rsidRP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8800034" wp14:editId="7F6087A2">
                  <wp:extent cx="2857500" cy="1593184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477" cy="159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Default="00CD00C2" w:rsidP="00CD00C2">
            <w:pPr>
              <w:rPr>
                <w:bCs/>
              </w:rPr>
            </w:pPr>
            <w:r w:rsidRPr="00CD00C2">
              <w:rPr>
                <w:bCs/>
              </w:rPr>
              <w:t>Bu iki sıvı daha büyük bir kapta karıştırılırsa karışımın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son sıcaklığı kaç °C olur? (Buharlaşma sonucu eksilen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sıvı miktarlarını ihmal edelim.) (c</w:t>
            </w:r>
            <w:r w:rsidRPr="00CD00C2">
              <w:rPr>
                <w:bCs/>
                <w:vertAlign w:val="subscript"/>
              </w:rPr>
              <w:t>su</w:t>
            </w:r>
            <w:r w:rsidRPr="00CD00C2">
              <w:rPr>
                <w:bCs/>
              </w:rPr>
              <w:t xml:space="preserve"> = 4,18 J/g°C</w:t>
            </w:r>
            <w:r>
              <w:rPr>
                <w:bCs/>
              </w:rPr>
              <w:t xml:space="preserve"> </w:t>
            </w:r>
            <w:r w:rsidRPr="00CD00C2">
              <w:rPr>
                <w:bCs/>
              </w:rPr>
              <w:t>c</w:t>
            </w:r>
            <w:r w:rsidRPr="00CD00C2">
              <w:rPr>
                <w:bCs/>
                <w:vertAlign w:val="subscript"/>
              </w:rPr>
              <w:t>alkol</w:t>
            </w:r>
            <w:r w:rsidRPr="00CD00C2">
              <w:rPr>
                <w:bCs/>
              </w:rPr>
              <w:t xml:space="preserve"> = 2,54 J/g°C)</w:t>
            </w:r>
          </w:p>
          <w:p w:rsidR="00CD00C2" w:rsidRDefault="00CD00C2" w:rsidP="00CD00C2">
            <w:pPr>
              <w:rPr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B0422A" w:rsidRDefault="00B0422A" w:rsidP="00CD00C2">
            <w:pPr>
              <w:rPr>
                <w:b/>
                <w:bCs/>
              </w:rPr>
            </w:pPr>
          </w:p>
          <w:p w:rsidR="00CD00C2" w:rsidRDefault="00CD00C2" w:rsidP="00CD00C2">
            <w:pPr>
              <w:rPr>
                <w:b/>
                <w:bCs/>
              </w:rPr>
            </w:pPr>
            <w:r w:rsidRPr="00CD00C2">
              <w:rPr>
                <w:b/>
                <w:bCs/>
              </w:rPr>
              <w:t>Çözüm</w:t>
            </w:r>
            <w:r>
              <w:rPr>
                <w:b/>
                <w:bCs/>
              </w:rPr>
              <w:t>:</w:t>
            </w:r>
          </w:p>
          <w:p w:rsidR="00CD00C2" w:rsidRDefault="00CD00C2" w:rsidP="00CD00C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AA13AD6" wp14:editId="0C1FA226">
                  <wp:extent cx="5364480" cy="3221355"/>
                  <wp:effectExtent l="0" t="0" r="762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0" cy="322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0C2" w:rsidRPr="00EB1C2C" w:rsidRDefault="00CD00C2" w:rsidP="00CD00C2">
            <w:pPr>
              <w:rPr>
                <w:b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0268C5" w:rsidRDefault="0043426E" w:rsidP="00372881">
            <w:r w:rsidRPr="0043426E"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CD00C2" w:rsidRPr="00CE2614" w:rsidRDefault="00CD00C2" w:rsidP="00CD00C2">
            <w:pPr>
              <w:pStyle w:val="ListeParagraf"/>
              <w:numPr>
                <w:ilvl w:val="0"/>
                <w:numId w:val="19"/>
              </w:numPr>
            </w:pPr>
            <w:r>
              <w:t>Öğrenci ders kitabı 162. Sayfadaki Kendimizi değerlendirelim etkinlikleri yaptırılacaktır.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6B0E7F">
        <w:trPr>
          <w:trHeight w:val="388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635E5E" w:rsidP="007E16BC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0E120A" w:rsidRDefault="00633AA1" w:rsidP="008A0B40">
            <w:r>
              <w:t>II. Dönem I. Yazılı Sınav (20 – 24 Mart 2017</w:t>
            </w:r>
            <w:bookmarkStart w:id="0" w:name="_GoBack"/>
            <w:bookmarkEnd w:id="0"/>
            <w:r>
              <w:t>)</w:t>
            </w:r>
          </w:p>
        </w:tc>
      </w:tr>
    </w:tbl>
    <w:p w:rsidR="00125FE2" w:rsidRPr="00125FE2" w:rsidRDefault="00125FE2" w:rsidP="000F594E">
      <w:pPr>
        <w:spacing w:after="0"/>
        <w:jc w:val="center"/>
        <w:rPr>
          <w:b/>
        </w:rPr>
      </w:pPr>
      <w:r w:rsidRPr="00125FE2">
        <w:rPr>
          <w:b/>
        </w:rPr>
        <w:t xml:space="preserve">…………………………………..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>Fen Bilimleri Öğretmeni                                                                         ………………………………………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372881" w:rsidRDefault="00FF4AF2" w:rsidP="00125FE2">
      <w:pPr>
        <w:jc w:val="center"/>
        <w:rPr>
          <w:b/>
          <w:sz w:val="48"/>
          <w:szCs w:val="24"/>
        </w:rPr>
      </w:pPr>
      <w:hyperlink r:id="rId21" w:history="1">
        <w:r w:rsidR="00125FE2" w:rsidRPr="00372881">
          <w:rPr>
            <w:rStyle w:val="Kpr"/>
            <w:b/>
            <w:sz w:val="48"/>
            <w:szCs w:val="24"/>
          </w:rPr>
          <w:t>www.FenEhli.com</w:t>
        </w:r>
      </w:hyperlink>
    </w:p>
    <w:sectPr w:rsidR="00125FE2" w:rsidRPr="003728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F2" w:rsidRDefault="00FF4AF2" w:rsidP="000F594E">
      <w:pPr>
        <w:spacing w:after="0" w:line="240" w:lineRule="auto"/>
      </w:pPr>
      <w:r>
        <w:separator/>
      </w:r>
    </w:p>
  </w:endnote>
  <w:endnote w:type="continuationSeparator" w:id="0">
    <w:p w:rsidR="00FF4AF2" w:rsidRDefault="00FF4AF2" w:rsidP="000F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F2" w:rsidRDefault="00FF4AF2" w:rsidP="000F594E">
      <w:pPr>
        <w:spacing w:after="0" w:line="240" w:lineRule="auto"/>
      </w:pPr>
      <w:r>
        <w:separator/>
      </w:r>
    </w:p>
  </w:footnote>
  <w:footnote w:type="continuationSeparator" w:id="0">
    <w:p w:rsidR="00FF4AF2" w:rsidRDefault="00FF4AF2" w:rsidP="000F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351"/>
    <w:multiLevelType w:val="multilevel"/>
    <w:tmpl w:val="D35E7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57A0"/>
    <w:multiLevelType w:val="hybridMultilevel"/>
    <w:tmpl w:val="A430492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8742B"/>
    <w:multiLevelType w:val="hybridMultilevel"/>
    <w:tmpl w:val="EC1A1F8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D3F19"/>
    <w:multiLevelType w:val="multilevel"/>
    <w:tmpl w:val="EA8A4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05C47"/>
    <w:multiLevelType w:val="hybridMultilevel"/>
    <w:tmpl w:val="8F58B70C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24E9"/>
    <w:multiLevelType w:val="hybridMultilevel"/>
    <w:tmpl w:val="85962E88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05E34"/>
    <w:multiLevelType w:val="multilevel"/>
    <w:tmpl w:val="7C205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47D69"/>
    <w:multiLevelType w:val="hybridMultilevel"/>
    <w:tmpl w:val="1584BC84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2AA0"/>
    <w:multiLevelType w:val="hybridMultilevel"/>
    <w:tmpl w:val="3F04E40C"/>
    <w:lvl w:ilvl="0" w:tplc="45ECC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C1CCF"/>
    <w:multiLevelType w:val="hybridMultilevel"/>
    <w:tmpl w:val="DD409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B64A0"/>
    <w:multiLevelType w:val="multilevel"/>
    <w:tmpl w:val="428A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6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3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E5E"/>
    <w:rsid w:val="000205DF"/>
    <w:rsid w:val="00024B40"/>
    <w:rsid w:val="000268C5"/>
    <w:rsid w:val="000545F8"/>
    <w:rsid w:val="00083D23"/>
    <w:rsid w:val="00085381"/>
    <w:rsid w:val="000C2D29"/>
    <w:rsid w:val="000D2222"/>
    <w:rsid w:val="000E120A"/>
    <w:rsid w:val="000E77F7"/>
    <w:rsid w:val="000F2C83"/>
    <w:rsid w:val="000F594E"/>
    <w:rsid w:val="000F6FC7"/>
    <w:rsid w:val="00100BDE"/>
    <w:rsid w:val="00123220"/>
    <w:rsid w:val="00125FE2"/>
    <w:rsid w:val="001373E8"/>
    <w:rsid w:val="0018041D"/>
    <w:rsid w:val="00186D7B"/>
    <w:rsid w:val="001947E9"/>
    <w:rsid w:val="00196C80"/>
    <w:rsid w:val="001D41DD"/>
    <w:rsid w:val="001E04DB"/>
    <w:rsid w:val="001F660D"/>
    <w:rsid w:val="00253663"/>
    <w:rsid w:val="00280781"/>
    <w:rsid w:val="002C63AE"/>
    <w:rsid w:val="002E1CA3"/>
    <w:rsid w:val="00331541"/>
    <w:rsid w:val="003479EF"/>
    <w:rsid w:val="00372881"/>
    <w:rsid w:val="003B280D"/>
    <w:rsid w:val="003E13D7"/>
    <w:rsid w:val="00426EB7"/>
    <w:rsid w:val="0043426E"/>
    <w:rsid w:val="004437F5"/>
    <w:rsid w:val="00471589"/>
    <w:rsid w:val="004925C7"/>
    <w:rsid w:val="004A350D"/>
    <w:rsid w:val="004A6381"/>
    <w:rsid w:val="004B15B7"/>
    <w:rsid w:val="004C64A8"/>
    <w:rsid w:val="005637FE"/>
    <w:rsid w:val="005A2218"/>
    <w:rsid w:val="005C4AF8"/>
    <w:rsid w:val="005F348E"/>
    <w:rsid w:val="006033E9"/>
    <w:rsid w:val="006056D0"/>
    <w:rsid w:val="00633AA1"/>
    <w:rsid w:val="00635E5E"/>
    <w:rsid w:val="006B0E7F"/>
    <w:rsid w:val="007267E8"/>
    <w:rsid w:val="00764EF9"/>
    <w:rsid w:val="007660BE"/>
    <w:rsid w:val="007B10F5"/>
    <w:rsid w:val="007D320C"/>
    <w:rsid w:val="007E16BC"/>
    <w:rsid w:val="007E3ECC"/>
    <w:rsid w:val="008537D1"/>
    <w:rsid w:val="0086182A"/>
    <w:rsid w:val="00871822"/>
    <w:rsid w:val="008D5A41"/>
    <w:rsid w:val="009056FE"/>
    <w:rsid w:val="00916C33"/>
    <w:rsid w:val="00931579"/>
    <w:rsid w:val="00B0422A"/>
    <w:rsid w:val="00B302A4"/>
    <w:rsid w:val="00B43AC3"/>
    <w:rsid w:val="00B4515C"/>
    <w:rsid w:val="00B571D1"/>
    <w:rsid w:val="00B77C5E"/>
    <w:rsid w:val="00BF41BA"/>
    <w:rsid w:val="00C24819"/>
    <w:rsid w:val="00C562F4"/>
    <w:rsid w:val="00C60DC1"/>
    <w:rsid w:val="00CD00C2"/>
    <w:rsid w:val="00CE2614"/>
    <w:rsid w:val="00CF7B3A"/>
    <w:rsid w:val="00D2621B"/>
    <w:rsid w:val="00D8075D"/>
    <w:rsid w:val="00D84B6A"/>
    <w:rsid w:val="00D86A2C"/>
    <w:rsid w:val="00DA2389"/>
    <w:rsid w:val="00DC3B4D"/>
    <w:rsid w:val="00DD52DF"/>
    <w:rsid w:val="00E1500E"/>
    <w:rsid w:val="00E26F09"/>
    <w:rsid w:val="00E56A70"/>
    <w:rsid w:val="00E70CD9"/>
    <w:rsid w:val="00E75385"/>
    <w:rsid w:val="00EB1C2C"/>
    <w:rsid w:val="00EC7E40"/>
    <w:rsid w:val="00EE4FF2"/>
    <w:rsid w:val="00EE5366"/>
    <w:rsid w:val="00F03756"/>
    <w:rsid w:val="00F05043"/>
    <w:rsid w:val="00F249BD"/>
    <w:rsid w:val="00F57C35"/>
    <w:rsid w:val="00FC5F45"/>
    <w:rsid w:val="00FD2505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594E"/>
  </w:style>
  <w:style w:type="paragraph" w:styleId="Altbilgi">
    <w:name w:val="footer"/>
    <w:basedOn w:val="Normal"/>
    <w:link w:val="Al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594E"/>
  </w:style>
  <w:style w:type="table" w:styleId="KlavuzTablo6Renkli">
    <w:name w:val="Grid Table 6 Colorful"/>
    <w:basedOn w:val="NormalTablo"/>
    <w:uiPriority w:val="51"/>
    <w:rsid w:val="002E1CA3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978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www.FenEhli.com" TargetMode="External"/><Relationship Id="rId7" Type="http://schemas.openxmlformats.org/officeDocument/2006/relationships/hyperlink" Target="http://www.fenehli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6333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62</cp:revision>
  <dcterms:created xsi:type="dcterms:W3CDTF">2015-09-18T15:07:00Z</dcterms:created>
  <dcterms:modified xsi:type="dcterms:W3CDTF">2017-03-19T13:32:00Z</dcterms:modified>
  <cp:category>www.FenEhli.com </cp:category>
  <cp:contentStatus>www.FenEhli.com </cp:contentStatus>
</cp:coreProperties>
</file>